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E88A" w14:textId="77777777" w:rsidR="00520D03" w:rsidRPr="001943F6" w:rsidRDefault="00CC7585" w:rsidP="00C406BC">
      <w:pPr>
        <w:spacing w:after="120" w:line="240" w:lineRule="auto"/>
        <w:jc w:val="center"/>
        <w:rPr>
          <w:rFonts w:ascii="Arial" w:hAnsi="Arial" w:cs="Arial"/>
          <w:b/>
          <w:sz w:val="28"/>
          <w:szCs w:val="28"/>
        </w:rPr>
      </w:pPr>
      <w:r w:rsidRPr="001943F6">
        <w:rPr>
          <w:rFonts w:ascii="Arial" w:hAnsi="Arial" w:cs="Arial"/>
          <w:b/>
          <w:sz w:val="28"/>
          <w:szCs w:val="28"/>
        </w:rPr>
        <w:t>Traitement de l'habitat indigne et préservation du patrimoine urbain</w:t>
      </w:r>
    </w:p>
    <w:p w14:paraId="3AC49AEC" w14:textId="77777777" w:rsidR="00CC7585" w:rsidRPr="001943F6" w:rsidRDefault="00CC7585" w:rsidP="00C406BC">
      <w:pPr>
        <w:spacing w:after="120" w:line="240" w:lineRule="auto"/>
        <w:jc w:val="center"/>
        <w:rPr>
          <w:rFonts w:ascii="Arial" w:hAnsi="Arial" w:cs="Arial"/>
          <w:b/>
          <w:sz w:val="28"/>
          <w:szCs w:val="28"/>
        </w:rPr>
      </w:pPr>
      <w:r w:rsidRPr="001943F6">
        <w:rPr>
          <w:rFonts w:ascii="Arial" w:hAnsi="Arial" w:cs="Arial"/>
          <w:b/>
          <w:sz w:val="28"/>
          <w:szCs w:val="28"/>
        </w:rPr>
        <w:t xml:space="preserve">Aspects </w:t>
      </w:r>
      <w:r w:rsidR="001943F6" w:rsidRPr="001943F6">
        <w:rPr>
          <w:rFonts w:ascii="Arial" w:hAnsi="Arial" w:cs="Arial"/>
          <w:b/>
          <w:sz w:val="28"/>
          <w:szCs w:val="28"/>
        </w:rPr>
        <w:t>juridiques ;</w:t>
      </w:r>
      <w:r w:rsidRPr="001943F6">
        <w:rPr>
          <w:rFonts w:ascii="Arial" w:hAnsi="Arial" w:cs="Arial"/>
          <w:b/>
          <w:sz w:val="28"/>
          <w:szCs w:val="28"/>
        </w:rPr>
        <w:t xml:space="preserve"> avis des ABF</w:t>
      </w:r>
    </w:p>
    <w:p w14:paraId="237830B2" w14:textId="77777777" w:rsidR="00CC7585" w:rsidRDefault="00CC7585" w:rsidP="005863FA">
      <w:pPr>
        <w:spacing w:after="120" w:line="240" w:lineRule="auto"/>
        <w:rPr>
          <w:rFonts w:ascii="Arial" w:hAnsi="Arial" w:cs="Arial"/>
        </w:rPr>
      </w:pPr>
    </w:p>
    <w:p w14:paraId="54F0D1CA" w14:textId="77777777" w:rsidR="006526A4" w:rsidRDefault="00CC7585" w:rsidP="005863FA">
      <w:pPr>
        <w:spacing w:after="120" w:line="240" w:lineRule="auto"/>
        <w:rPr>
          <w:rFonts w:ascii="Arial" w:hAnsi="Arial" w:cs="Arial"/>
        </w:rPr>
      </w:pPr>
      <w:r w:rsidRPr="00ED2883">
        <w:rPr>
          <w:rFonts w:ascii="Arial" w:hAnsi="Arial" w:cs="Arial"/>
        </w:rPr>
        <w:t>Le traitement des situations d'habitat indigne, insalubre, menaçant ruine, et autres formes d'habitat dégradé n'est pas incompatible avec la préservation du patrimoine urbain, ni la préservation du patrimoine urbain incompatible avec  le traitement des situations d'habitat indigne ou dégradé : encore faut-il faire preuve de discernement et d'intelligence dans l'analyse des enjeux, d'appréciation des valeurs patrimoniales tout en assurant l'amélioration des conditions d'habitabilité dans les quartiers historiques.</w:t>
      </w:r>
    </w:p>
    <w:p w14:paraId="35AD03E8" w14:textId="77777777" w:rsidR="00CC7585" w:rsidRPr="00ED2883" w:rsidRDefault="00CC7585" w:rsidP="005863FA">
      <w:pPr>
        <w:spacing w:after="120" w:line="240" w:lineRule="auto"/>
        <w:rPr>
          <w:rFonts w:ascii="Arial" w:hAnsi="Arial" w:cs="Arial"/>
        </w:rPr>
      </w:pPr>
      <w:r w:rsidRPr="00ED2883">
        <w:rPr>
          <w:rFonts w:ascii="Arial" w:hAnsi="Arial" w:cs="Arial"/>
        </w:rPr>
        <w:t xml:space="preserve"> La conservation d</w:t>
      </w:r>
      <w:r w:rsidR="006250F5" w:rsidRPr="00ED2883">
        <w:rPr>
          <w:rFonts w:ascii="Arial" w:hAnsi="Arial" w:cs="Arial"/>
        </w:rPr>
        <w:t xml:space="preserve">e </w:t>
      </w:r>
      <w:r w:rsidR="006526A4" w:rsidRPr="00ED2883">
        <w:rPr>
          <w:rFonts w:ascii="Arial" w:hAnsi="Arial" w:cs="Arial"/>
        </w:rPr>
        <w:t>l’habitat ancien</w:t>
      </w:r>
      <w:r w:rsidRPr="00ED2883">
        <w:rPr>
          <w:rFonts w:ascii="Arial" w:hAnsi="Arial" w:cs="Arial"/>
        </w:rPr>
        <w:t xml:space="preserve"> et son adaptation aux usages d'aujourd'hui passe d'abord par son entretien et une occupation conforme à son usage dans des conditions salubres et sûres. </w:t>
      </w:r>
      <w:r w:rsidR="006250F5" w:rsidRPr="00ED2883">
        <w:rPr>
          <w:rFonts w:ascii="Arial" w:hAnsi="Arial" w:cs="Arial"/>
        </w:rPr>
        <w:t>Cela implique une surveillance minimale par les services locaux et l'exercice de leurs pouvoirs de police administrative afin d'éviter au maximum les situations de dégradation irréversible et leurs conséquences sociales et humaines.</w:t>
      </w:r>
    </w:p>
    <w:p w14:paraId="497BA6BC" w14:textId="77777777" w:rsidR="006250F5" w:rsidRPr="00ED2883" w:rsidRDefault="006250F5" w:rsidP="005863FA">
      <w:pPr>
        <w:spacing w:after="120" w:line="240" w:lineRule="auto"/>
        <w:rPr>
          <w:rFonts w:ascii="Arial" w:hAnsi="Arial" w:cs="Arial"/>
        </w:rPr>
      </w:pPr>
      <w:r w:rsidRPr="00ED2883">
        <w:rPr>
          <w:rFonts w:ascii="Arial" w:hAnsi="Arial" w:cs="Arial"/>
        </w:rPr>
        <w:t xml:space="preserve">Pour autant la démolition de bâtiments d'intérêt architectural ou historique dans un centre ancien est à éviter, même si </w:t>
      </w:r>
      <w:r w:rsidR="0032082F" w:rsidRPr="00ED2883">
        <w:rPr>
          <w:rFonts w:ascii="Arial" w:hAnsi="Arial" w:cs="Arial"/>
        </w:rPr>
        <w:t>leur reconversion</w:t>
      </w:r>
      <w:r w:rsidRPr="00ED2883">
        <w:rPr>
          <w:rFonts w:ascii="Arial" w:hAnsi="Arial" w:cs="Arial"/>
        </w:rPr>
        <w:t xml:space="preserve"> ou réutilisation pose des problèmes architecturaux et financiers. L'intelligence des architectes, des aménageurs et des </w:t>
      </w:r>
      <w:r w:rsidR="0032082F" w:rsidRPr="00ED2883">
        <w:rPr>
          <w:rFonts w:ascii="Arial" w:hAnsi="Arial" w:cs="Arial"/>
        </w:rPr>
        <w:t>opérateurs</w:t>
      </w:r>
      <w:r w:rsidRPr="00ED2883">
        <w:rPr>
          <w:rFonts w:ascii="Arial" w:hAnsi="Arial" w:cs="Arial"/>
        </w:rPr>
        <w:t xml:space="preserve"> de logement doit être appelée pour éviter des catastrophes urbanistiques. On sait tout faire aujourd'hui si on s'en donne les moyens.</w:t>
      </w:r>
    </w:p>
    <w:p w14:paraId="27B850C4" w14:textId="77777777" w:rsidR="00A90EB4" w:rsidRPr="00ED2883" w:rsidRDefault="006250F5" w:rsidP="005863FA">
      <w:pPr>
        <w:spacing w:after="120" w:line="240" w:lineRule="auto"/>
        <w:rPr>
          <w:rFonts w:ascii="Arial" w:hAnsi="Arial" w:cs="Arial"/>
        </w:rPr>
      </w:pPr>
      <w:r w:rsidRPr="00ED2883">
        <w:rPr>
          <w:rFonts w:ascii="Arial" w:hAnsi="Arial" w:cs="Arial"/>
        </w:rPr>
        <w:t xml:space="preserve">Dans le cadre de ces remarques </w:t>
      </w:r>
      <w:r w:rsidR="00A90EB4" w:rsidRPr="00ED2883">
        <w:rPr>
          <w:rFonts w:ascii="Arial" w:hAnsi="Arial" w:cs="Arial"/>
        </w:rPr>
        <w:t>générales</w:t>
      </w:r>
      <w:r w:rsidRPr="00ED2883">
        <w:rPr>
          <w:rFonts w:ascii="Arial" w:hAnsi="Arial" w:cs="Arial"/>
        </w:rPr>
        <w:t xml:space="preserve">, qui ne sont pas nouvelles, se situe le nécessaire dialogue et l'expertise combinée des architectes des </w:t>
      </w:r>
      <w:r w:rsidR="00A90EB4" w:rsidRPr="00ED2883">
        <w:rPr>
          <w:rFonts w:ascii="Arial" w:hAnsi="Arial" w:cs="Arial"/>
        </w:rPr>
        <w:t>bâtiments</w:t>
      </w:r>
      <w:r w:rsidRPr="00ED2883">
        <w:rPr>
          <w:rFonts w:ascii="Arial" w:hAnsi="Arial" w:cs="Arial"/>
        </w:rPr>
        <w:t xml:space="preserve"> de France (ABF) et des porteurs de projets. Les nombreux programmes lancés pour engager la revitalisation des centres de ville et des petites villes, l'intervention des agences </w:t>
      </w:r>
      <w:r w:rsidR="00A90EB4" w:rsidRPr="00ED2883">
        <w:rPr>
          <w:rFonts w:ascii="Arial" w:hAnsi="Arial" w:cs="Arial"/>
        </w:rPr>
        <w:t xml:space="preserve">publiques </w:t>
      </w:r>
      <w:r w:rsidRPr="00ED2883">
        <w:rPr>
          <w:rFonts w:ascii="Arial" w:hAnsi="Arial" w:cs="Arial"/>
        </w:rPr>
        <w:t xml:space="preserve">de financement </w:t>
      </w:r>
      <w:r w:rsidR="00A90EB4" w:rsidRPr="00ED2883">
        <w:rPr>
          <w:rFonts w:ascii="Arial" w:hAnsi="Arial" w:cs="Arial"/>
        </w:rPr>
        <w:t>– ANRU, ANAH – les OPAH-RU, ORT, Action cœur de ville, fonds friches, contrats de ville, RHI et THIRORI dans la nomenclature de l'ANAH ainsi que les différents contrats initiés par différents acteurs publics ou financiers ne doivent pas déboucher sur la disparition ou la dénaturation du patrimoine urbain. Ne financer que de la démolition ou pousser à la démolition parce que c'est plus facile pose des problèmes culturels autant que, souvent, des problèmes sociaux.</w:t>
      </w:r>
    </w:p>
    <w:p w14:paraId="64FF3A34" w14:textId="422923F0" w:rsidR="00206C10" w:rsidRPr="00ED2883" w:rsidRDefault="00206C10" w:rsidP="005863FA">
      <w:pPr>
        <w:spacing w:after="120" w:line="240" w:lineRule="auto"/>
        <w:rPr>
          <w:rFonts w:ascii="Arial" w:hAnsi="Arial" w:cs="Arial"/>
        </w:rPr>
      </w:pPr>
      <w:r w:rsidRPr="00ED2883">
        <w:rPr>
          <w:rFonts w:ascii="Arial" w:hAnsi="Arial" w:cs="Arial"/>
        </w:rPr>
        <w:t xml:space="preserve">Les textes de la loi ELAN de 2018, modifiés par l'ordonnance dite de simplification des procédures de police administratives du traitement de l'habitat indigne du 16 septembre 2020 ont modifié, pour les affaiblir, la portée des avis des ABF dans </w:t>
      </w:r>
      <w:r w:rsidR="00DC25B5">
        <w:rPr>
          <w:rFonts w:ascii="Arial" w:hAnsi="Arial" w:cs="Arial"/>
        </w:rPr>
        <w:t xml:space="preserve">certaines </w:t>
      </w:r>
      <w:r w:rsidRPr="00ED2883">
        <w:rPr>
          <w:rFonts w:ascii="Arial" w:hAnsi="Arial" w:cs="Arial"/>
        </w:rPr>
        <w:t>situations</w:t>
      </w:r>
      <w:r w:rsidR="00DC25B5">
        <w:rPr>
          <w:rFonts w:ascii="Arial" w:hAnsi="Arial" w:cs="Arial"/>
        </w:rPr>
        <w:t xml:space="preserve">. </w:t>
      </w:r>
      <w:r w:rsidRPr="00ED2883">
        <w:rPr>
          <w:rFonts w:ascii="Arial" w:hAnsi="Arial" w:cs="Arial"/>
        </w:rPr>
        <w:t xml:space="preserve">Cela a donné lieu à divers commentaires pas toujours justes sur le plan juridique, sachant que, par ailleurs, certains de ces textes sont mal rédigés et ambigus. </w:t>
      </w:r>
    </w:p>
    <w:p w14:paraId="2E68D647" w14:textId="2AED2F74" w:rsidR="00206C10" w:rsidRPr="00ED2883" w:rsidRDefault="00206C10" w:rsidP="005863FA">
      <w:pPr>
        <w:spacing w:after="120" w:line="240" w:lineRule="auto"/>
        <w:rPr>
          <w:rFonts w:ascii="Arial" w:hAnsi="Arial" w:cs="Arial"/>
        </w:rPr>
      </w:pPr>
      <w:r w:rsidRPr="00ED2883">
        <w:rPr>
          <w:rFonts w:ascii="Arial" w:hAnsi="Arial" w:cs="Arial"/>
        </w:rPr>
        <w:t>Les considérations ci-après tentent de clarifier le débat.</w:t>
      </w:r>
    </w:p>
    <w:p w14:paraId="06F11F2A" w14:textId="667FF97E" w:rsidR="00206C10" w:rsidRPr="00ED2883" w:rsidRDefault="00206C10" w:rsidP="005863FA">
      <w:pPr>
        <w:spacing w:after="120" w:line="240" w:lineRule="auto"/>
        <w:rPr>
          <w:rFonts w:ascii="Arial" w:hAnsi="Arial" w:cs="Arial"/>
        </w:rPr>
      </w:pPr>
      <w:r w:rsidRPr="00ED2883">
        <w:rPr>
          <w:rFonts w:ascii="Arial" w:hAnsi="Arial" w:cs="Arial"/>
        </w:rPr>
        <w:t>Rappelons que les arrêtés d'insalubrité et d'insécurité – ex arrêtés de péril – sont respectivement édictés par le préfet sous instruction de l'ARS</w:t>
      </w:r>
      <w:r w:rsidR="00DC25B5">
        <w:rPr>
          <w:rFonts w:ascii="Arial" w:hAnsi="Arial" w:cs="Arial"/>
        </w:rPr>
        <w:t>,</w:t>
      </w:r>
      <w:r w:rsidRPr="00ED2883">
        <w:rPr>
          <w:rFonts w:ascii="Arial" w:hAnsi="Arial" w:cs="Arial"/>
        </w:rPr>
        <w:t xml:space="preserve"> ou du SCHS de la commune lorsqu'elle en est pourvue</w:t>
      </w:r>
      <w:r w:rsidR="00DC25B5">
        <w:rPr>
          <w:rFonts w:ascii="Arial" w:hAnsi="Arial" w:cs="Arial"/>
        </w:rPr>
        <w:t xml:space="preserve"> et agissant au nom de l’Etat</w:t>
      </w:r>
      <w:r w:rsidRPr="00ED2883">
        <w:rPr>
          <w:rFonts w:ascii="Arial" w:hAnsi="Arial" w:cs="Arial"/>
        </w:rPr>
        <w:t xml:space="preserve">, et par le maire sur instruction soit par ses services, </w:t>
      </w:r>
      <w:r w:rsidRPr="00665C3E">
        <w:rPr>
          <w:rFonts w:ascii="Arial" w:hAnsi="Arial" w:cs="Arial"/>
        </w:rPr>
        <w:t>soit sur rapport d'un expert judiciaire</w:t>
      </w:r>
      <w:r w:rsidR="00DC25B5">
        <w:rPr>
          <w:rFonts w:ascii="Arial" w:hAnsi="Arial" w:cs="Arial"/>
        </w:rPr>
        <w:t>, parfois par</w:t>
      </w:r>
      <w:r w:rsidR="00DC25B5" w:rsidRPr="00DC25B5">
        <w:rPr>
          <w:rFonts w:ascii="Arial" w:hAnsi="Arial" w:cs="Arial"/>
        </w:rPr>
        <w:t xml:space="preserve"> </w:t>
      </w:r>
      <w:r w:rsidR="00DC25B5" w:rsidRPr="00665C3E">
        <w:rPr>
          <w:rFonts w:ascii="Arial" w:hAnsi="Arial" w:cs="Arial"/>
        </w:rPr>
        <w:t>un prestataire technique extérieur</w:t>
      </w:r>
      <w:r w:rsidR="00DC25B5" w:rsidRPr="00665C3E">
        <w:rPr>
          <w:rStyle w:val="Appelnotedebasdep"/>
          <w:rFonts w:ascii="Arial" w:hAnsi="Arial" w:cs="Arial"/>
        </w:rPr>
        <w:footnoteReference w:id="1"/>
      </w:r>
      <w:r w:rsidRPr="00665C3E">
        <w:rPr>
          <w:rFonts w:ascii="Arial" w:hAnsi="Arial" w:cs="Arial"/>
        </w:rPr>
        <w:t>.</w:t>
      </w:r>
      <w:r w:rsidRPr="00ED2883">
        <w:rPr>
          <w:rFonts w:ascii="Arial" w:hAnsi="Arial" w:cs="Arial"/>
        </w:rPr>
        <w:t xml:space="preserve"> </w:t>
      </w:r>
    </w:p>
    <w:p w14:paraId="6B4538AA" w14:textId="027EA0CA" w:rsidR="003F5211" w:rsidRDefault="003F5211" w:rsidP="005863FA">
      <w:pPr>
        <w:spacing w:after="120" w:line="240" w:lineRule="auto"/>
        <w:rPr>
          <w:rFonts w:ascii="Arial" w:eastAsia="Times New Roman" w:hAnsi="Arial" w:cs="Arial"/>
          <w:b/>
          <w:bCs/>
          <w:i/>
          <w:color w:val="3C3C3C"/>
          <w:lang w:eastAsia="fr-FR"/>
        </w:rPr>
      </w:pPr>
      <w:r w:rsidRPr="00ED2883">
        <w:rPr>
          <w:rFonts w:ascii="Arial" w:hAnsi="Arial" w:cs="Arial"/>
        </w:rPr>
        <w:t>Outre les prescriptions relatives à l'usage ou l'occupation des locaux, e</w:t>
      </w:r>
      <w:r w:rsidR="00206C10" w:rsidRPr="00ED2883">
        <w:rPr>
          <w:rFonts w:ascii="Arial" w:hAnsi="Arial" w:cs="Arial"/>
        </w:rPr>
        <w:t xml:space="preserve">n matière de travaux, ces arrêtés prescrivent au propriétaire soit des </w:t>
      </w:r>
      <w:r w:rsidR="0032082F" w:rsidRPr="00ED2883">
        <w:rPr>
          <w:rFonts w:ascii="Arial" w:hAnsi="Arial" w:cs="Arial"/>
        </w:rPr>
        <w:t>travaux de</w:t>
      </w:r>
      <w:r w:rsidR="00206C10" w:rsidRPr="00ED2883">
        <w:rPr>
          <w:rFonts w:ascii="Arial" w:hAnsi="Arial" w:cs="Arial"/>
        </w:rPr>
        <w:t xml:space="preserve"> réparation soit, exceptionnellement, la démolition du bâtiment pour mettre fin aux désordres relatifs à la salubrité ou à la sécurité publique</w:t>
      </w:r>
      <w:r w:rsidR="00DC25B5">
        <w:rPr>
          <w:rFonts w:ascii="Arial" w:hAnsi="Arial" w:cs="Arial"/>
        </w:rPr>
        <w:t>s</w:t>
      </w:r>
      <w:r w:rsidR="009448BF" w:rsidRPr="00ED2883">
        <w:rPr>
          <w:rFonts w:ascii="Arial" w:hAnsi="Arial" w:cs="Arial"/>
        </w:rPr>
        <w:t xml:space="preserve">, en application de </w:t>
      </w:r>
      <w:r w:rsidR="009448BF" w:rsidRPr="00B97265">
        <w:rPr>
          <w:rFonts w:ascii="Arial" w:hAnsi="Arial" w:cs="Arial"/>
          <w:b/>
          <w:bCs/>
          <w:color w:val="7030A0"/>
        </w:rPr>
        <w:t>l'art L511-11 du CCH</w:t>
      </w:r>
      <w:r w:rsidR="009448BF" w:rsidRPr="00B97265">
        <w:rPr>
          <w:rFonts w:ascii="Arial" w:hAnsi="Arial" w:cs="Arial"/>
          <w:color w:val="7030A0"/>
        </w:rPr>
        <w:t xml:space="preserve"> </w:t>
      </w:r>
      <w:r w:rsidR="009448BF" w:rsidRPr="00ED2883">
        <w:rPr>
          <w:rFonts w:ascii="Arial" w:hAnsi="Arial" w:cs="Arial"/>
        </w:rPr>
        <w:t xml:space="preserve">qui a recodifié </w:t>
      </w:r>
      <w:r w:rsidR="009448BF" w:rsidRPr="00ED2883">
        <w:rPr>
          <w:rFonts w:ascii="Arial" w:hAnsi="Arial" w:cs="Arial"/>
        </w:rPr>
        <w:lastRenderedPageBreak/>
        <w:t>les procédures. Ce même article</w:t>
      </w:r>
      <w:r w:rsidR="00B97265">
        <w:rPr>
          <w:rFonts w:ascii="Arial" w:hAnsi="Arial" w:cs="Arial"/>
        </w:rPr>
        <w:t>, issu de la rédaction modifiée par la loi « habitat dégradé » d’avril 2024</w:t>
      </w:r>
      <w:r w:rsidR="00B97265">
        <w:rPr>
          <w:rStyle w:val="Appelnotedebasdep"/>
          <w:rFonts w:ascii="Arial" w:hAnsi="Arial" w:cs="Arial"/>
        </w:rPr>
        <w:footnoteReference w:id="2"/>
      </w:r>
      <w:r w:rsidR="00B97265">
        <w:rPr>
          <w:rFonts w:ascii="Arial" w:hAnsi="Arial" w:cs="Arial"/>
        </w:rPr>
        <w:t>,</w:t>
      </w:r>
      <w:r w:rsidR="009448BF" w:rsidRPr="00ED2883">
        <w:rPr>
          <w:rFonts w:ascii="Arial" w:hAnsi="Arial" w:cs="Arial"/>
        </w:rPr>
        <w:t xml:space="preserve"> précise que </w:t>
      </w:r>
      <w:r w:rsidRPr="00ED2883">
        <w:rPr>
          <w:rFonts w:ascii="Arial" w:hAnsi="Arial" w:cs="Arial"/>
        </w:rPr>
        <w:t xml:space="preserve">: </w:t>
      </w:r>
    </w:p>
    <w:p w14:paraId="1B23422B" w14:textId="4FC7BB9B" w:rsidR="00B75BDF" w:rsidRDefault="00B97265" w:rsidP="00B75BDF">
      <w:pPr>
        <w:spacing w:after="120" w:line="240" w:lineRule="atLeast"/>
        <w:rPr>
          <w:rFonts w:ascii="Arial" w:eastAsia="Times New Roman" w:hAnsi="Arial" w:cs="Arial"/>
          <w:i/>
          <w:iCs/>
          <w:color w:val="7030A0"/>
          <w:lang w:eastAsia="fr-FR"/>
        </w:rPr>
      </w:pPr>
      <w:r w:rsidRPr="00B97265">
        <w:rPr>
          <w:rFonts w:ascii="Arial" w:eastAsia="Times New Roman" w:hAnsi="Arial" w:cs="Arial"/>
          <w:i/>
          <w:iCs/>
          <w:color w:val="7030A0"/>
          <w:lang w:eastAsia="fr-FR"/>
        </w:rPr>
        <w:t>« </w:t>
      </w:r>
      <w:r w:rsidR="00B75BDF" w:rsidRPr="00B97265">
        <w:rPr>
          <w:rFonts w:ascii="Arial" w:eastAsia="Times New Roman" w:hAnsi="Arial" w:cs="Arial"/>
          <w:i/>
          <w:iCs/>
          <w:color w:val="7030A0"/>
          <w:lang w:eastAsia="fr-FR"/>
        </w:rPr>
        <w:t>L'arrêté ne peut prescrire la démolition ou l'interdiction définitive d'habiter ou d'utiliser que s'il n'existe aucun moyen technique de remédier à l'insalubrité ou à l'insécurité ou lorsque les mesures et travaux nécessaires à une remise en état du bien aux normes de salubrité, de sécurité et de décence seraient plus coûteux que sa reconstruction</w:t>
      </w:r>
      <w:r w:rsidRPr="00B97265">
        <w:rPr>
          <w:rFonts w:ascii="Arial" w:eastAsia="Times New Roman" w:hAnsi="Arial" w:cs="Arial"/>
          <w:i/>
          <w:iCs/>
          <w:color w:val="7030A0"/>
          <w:lang w:eastAsia="fr-FR"/>
        </w:rPr>
        <w:t> »</w:t>
      </w:r>
      <w:r w:rsidR="00B75BDF" w:rsidRPr="00B97265">
        <w:rPr>
          <w:rFonts w:ascii="Arial" w:eastAsia="Times New Roman" w:hAnsi="Arial" w:cs="Arial"/>
          <w:i/>
          <w:iCs/>
          <w:color w:val="7030A0"/>
          <w:lang w:eastAsia="fr-FR"/>
        </w:rPr>
        <w:t>.</w:t>
      </w:r>
    </w:p>
    <w:p w14:paraId="5054C5D8" w14:textId="1308CDEA" w:rsidR="00B97265" w:rsidRPr="00B97265" w:rsidRDefault="00B97265" w:rsidP="00B75BDF">
      <w:pPr>
        <w:spacing w:after="120" w:line="240" w:lineRule="atLeast"/>
        <w:rPr>
          <w:rFonts w:ascii="Arial" w:eastAsia="Times New Roman" w:hAnsi="Arial" w:cs="Arial"/>
          <w:lang w:eastAsia="fr-FR"/>
        </w:rPr>
      </w:pPr>
      <w:r w:rsidRPr="00B97265">
        <w:rPr>
          <w:rFonts w:ascii="Arial" w:eastAsia="Times New Roman" w:hAnsi="Arial" w:cs="Arial"/>
          <w:lang w:eastAsia="fr-FR"/>
        </w:rPr>
        <w:t xml:space="preserve">Cette définition, précédemment limitée aux immeubles insalubres, a été étendue à tous les immeubles d’habitation, insalubres ou en situation de péril/insécurité. </w:t>
      </w:r>
    </w:p>
    <w:p w14:paraId="599BCA9E" w14:textId="77777777" w:rsidR="00B22363" w:rsidRPr="00ED2883" w:rsidRDefault="003F5211" w:rsidP="005863FA">
      <w:pPr>
        <w:spacing w:after="120" w:line="240" w:lineRule="auto"/>
        <w:rPr>
          <w:rFonts w:ascii="Arial" w:eastAsia="Times New Roman" w:hAnsi="Arial" w:cs="Arial"/>
          <w:lang w:eastAsia="fr-FR"/>
        </w:rPr>
      </w:pPr>
      <w:r w:rsidRPr="00ED2883">
        <w:rPr>
          <w:rFonts w:ascii="Arial" w:eastAsia="Times New Roman" w:hAnsi="Arial" w:cs="Arial"/>
          <w:lang w:eastAsia="fr-FR"/>
        </w:rPr>
        <w:t xml:space="preserve">Cette disposition précise une jurisprudence ancienne et constante selon laquelle une autorité administrative ne peut imposer à un propriétaire des travaux qui seraient assimilables à une reconstruction. </w:t>
      </w:r>
    </w:p>
    <w:p w14:paraId="48B8E8CA" w14:textId="5E41F814" w:rsidR="003F5211" w:rsidRPr="00ED2883" w:rsidRDefault="003F5211" w:rsidP="005863FA">
      <w:pPr>
        <w:spacing w:after="120" w:line="240" w:lineRule="auto"/>
        <w:rPr>
          <w:rFonts w:ascii="Arial" w:eastAsia="Times New Roman" w:hAnsi="Arial" w:cs="Arial"/>
          <w:lang w:eastAsia="fr-FR"/>
        </w:rPr>
      </w:pPr>
      <w:r w:rsidRPr="00ED2883">
        <w:rPr>
          <w:rFonts w:ascii="Arial" w:eastAsia="Times New Roman" w:hAnsi="Arial" w:cs="Arial"/>
          <w:lang w:eastAsia="fr-FR"/>
        </w:rPr>
        <w:t xml:space="preserve">La démolition n'est </w:t>
      </w:r>
      <w:r w:rsidR="00B97265">
        <w:rPr>
          <w:rFonts w:ascii="Arial" w:eastAsia="Times New Roman" w:hAnsi="Arial" w:cs="Arial"/>
          <w:lang w:eastAsia="fr-FR"/>
        </w:rPr>
        <w:t xml:space="preserve">donc </w:t>
      </w:r>
      <w:r w:rsidRPr="00ED2883">
        <w:rPr>
          <w:rFonts w:ascii="Arial" w:eastAsia="Times New Roman" w:hAnsi="Arial" w:cs="Arial"/>
          <w:lang w:eastAsia="fr-FR"/>
        </w:rPr>
        <w:t>nullement automatique, ni en péril et encore moins en cas d'insalubrité</w:t>
      </w:r>
      <w:r w:rsidR="00B97265">
        <w:rPr>
          <w:rFonts w:ascii="Arial" w:eastAsia="Times New Roman" w:hAnsi="Arial" w:cs="Arial"/>
          <w:lang w:eastAsia="fr-FR"/>
        </w:rPr>
        <w:t>, même en cas dit d’irrémédiabilité</w:t>
      </w:r>
      <w:r w:rsidR="00B97265">
        <w:rPr>
          <w:rStyle w:val="Appelnotedebasdep"/>
          <w:rFonts w:ascii="Arial" w:eastAsia="Times New Roman" w:hAnsi="Arial" w:cs="Arial"/>
          <w:lang w:eastAsia="fr-FR"/>
        </w:rPr>
        <w:footnoteReference w:id="3"/>
      </w:r>
      <w:r w:rsidR="00B97265">
        <w:rPr>
          <w:rFonts w:ascii="Arial" w:eastAsia="Times New Roman" w:hAnsi="Arial" w:cs="Arial"/>
          <w:lang w:eastAsia="fr-FR"/>
        </w:rPr>
        <w:t xml:space="preserve">, </w:t>
      </w:r>
      <w:r w:rsidRPr="00ED2883">
        <w:rPr>
          <w:rFonts w:ascii="Arial" w:eastAsia="Times New Roman" w:hAnsi="Arial" w:cs="Arial"/>
          <w:lang w:eastAsia="fr-FR"/>
        </w:rPr>
        <w:t xml:space="preserve"> et c'est pourquoi la loi </w:t>
      </w:r>
      <w:r w:rsidR="00094C98" w:rsidRPr="00ED2883">
        <w:rPr>
          <w:rFonts w:ascii="Arial" w:eastAsia="Times New Roman" w:hAnsi="Arial" w:cs="Arial"/>
          <w:lang w:eastAsia="fr-FR"/>
        </w:rPr>
        <w:t>précise</w:t>
      </w:r>
      <w:r w:rsidRPr="00ED2883">
        <w:rPr>
          <w:rFonts w:ascii="Arial" w:eastAsia="Times New Roman" w:hAnsi="Arial" w:cs="Arial"/>
          <w:lang w:eastAsia="fr-FR"/>
        </w:rPr>
        <w:t xml:space="preserve"> que peut </w:t>
      </w:r>
      <w:r w:rsidR="00094C98" w:rsidRPr="00ED2883">
        <w:rPr>
          <w:rFonts w:ascii="Arial" w:eastAsia="Times New Roman" w:hAnsi="Arial" w:cs="Arial"/>
          <w:lang w:eastAsia="fr-FR"/>
        </w:rPr>
        <w:t>être</w:t>
      </w:r>
      <w:r w:rsidRPr="00ED2883">
        <w:rPr>
          <w:rFonts w:ascii="Arial" w:eastAsia="Times New Roman" w:hAnsi="Arial" w:cs="Arial"/>
          <w:lang w:eastAsia="fr-FR"/>
        </w:rPr>
        <w:t xml:space="preserve"> prescrite l'interdiction </w:t>
      </w:r>
      <w:r w:rsidR="00094C98" w:rsidRPr="00ED2883">
        <w:rPr>
          <w:rFonts w:ascii="Arial" w:eastAsia="Times New Roman" w:hAnsi="Arial" w:cs="Arial"/>
          <w:lang w:eastAsia="fr-FR"/>
        </w:rPr>
        <w:t>définitive</w:t>
      </w:r>
      <w:r w:rsidRPr="00ED2883">
        <w:rPr>
          <w:rFonts w:ascii="Arial" w:eastAsia="Times New Roman" w:hAnsi="Arial" w:cs="Arial"/>
          <w:lang w:eastAsia="fr-FR"/>
        </w:rPr>
        <w:t xml:space="preserve"> d'habiter</w:t>
      </w:r>
      <w:r w:rsidR="00B22363" w:rsidRPr="00ED2883">
        <w:rPr>
          <w:rFonts w:ascii="Arial" w:eastAsia="Times New Roman" w:hAnsi="Arial" w:cs="Arial"/>
          <w:lang w:eastAsia="fr-FR"/>
        </w:rPr>
        <w:t xml:space="preserve"> ou d'utiliser les locaux en </w:t>
      </w:r>
      <w:r w:rsidR="0032082F" w:rsidRPr="00ED2883">
        <w:rPr>
          <w:rFonts w:ascii="Arial" w:eastAsia="Times New Roman" w:hAnsi="Arial" w:cs="Arial"/>
          <w:lang w:eastAsia="fr-FR"/>
        </w:rPr>
        <w:t>cause, ce</w:t>
      </w:r>
      <w:r w:rsidRPr="00ED2883">
        <w:rPr>
          <w:rFonts w:ascii="Arial" w:eastAsia="Times New Roman" w:hAnsi="Arial" w:cs="Arial"/>
          <w:lang w:eastAsia="fr-FR"/>
        </w:rPr>
        <w:t xml:space="preserve"> qui permet de préserver le </w:t>
      </w:r>
      <w:r w:rsidR="00094C98" w:rsidRPr="00ED2883">
        <w:rPr>
          <w:rFonts w:ascii="Arial" w:eastAsia="Times New Roman" w:hAnsi="Arial" w:cs="Arial"/>
          <w:lang w:eastAsia="fr-FR"/>
        </w:rPr>
        <w:t>bâtiment</w:t>
      </w:r>
      <w:r w:rsidRPr="00ED2883">
        <w:rPr>
          <w:rFonts w:ascii="Arial" w:eastAsia="Times New Roman" w:hAnsi="Arial" w:cs="Arial"/>
          <w:lang w:eastAsia="fr-FR"/>
        </w:rPr>
        <w:t xml:space="preserve">. Bien </w:t>
      </w:r>
      <w:r w:rsidR="00094C98" w:rsidRPr="00ED2883">
        <w:rPr>
          <w:rFonts w:ascii="Arial" w:eastAsia="Times New Roman" w:hAnsi="Arial" w:cs="Arial"/>
          <w:lang w:eastAsia="fr-FR"/>
        </w:rPr>
        <w:t>évidemment</w:t>
      </w:r>
      <w:r w:rsidRPr="00ED2883">
        <w:rPr>
          <w:rFonts w:ascii="Arial" w:eastAsia="Times New Roman" w:hAnsi="Arial" w:cs="Arial"/>
          <w:lang w:eastAsia="fr-FR"/>
        </w:rPr>
        <w:t xml:space="preserve">, on </w:t>
      </w:r>
      <w:r w:rsidR="00094C98" w:rsidRPr="00ED2883">
        <w:rPr>
          <w:rFonts w:ascii="Arial" w:eastAsia="Times New Roman" w:hAnsi="Arial" w:cs="Arial"/>
          <w:lang w:eastAsia="fr-FR"/>
        </w:rPr>
        <w:t>démolira</w:t>
      </w:r>
      <w:r w:rsidRPr="00ED2883">
        <w:rPr>
          <w:rFonts w:ascii="Arial" w:eastAsia="Times New Roman" w:hAnsi="Arial" w:cs="Arial"/>
          <w:lang w:eastAsia="fr-FR"/>
        </w:rPr>
        <w:t xml:space="preserve"> un </w:t>
      </w:r>
      <w:r w:rsidR="00094C98" w:rsidRPr="00ED2883">
        <w:rPr>
          <w:rFonts w:ascii="Arial" w:eastAsia="Times New Roman" w:hAnsi="Arial" w:cs="Arial"/>
          <w:lang w:eastAsia="fr-FR"/>
        </w:rPr>
        <w:t>bâtiment</w:t>
      </w:r>
      <w:r w:rsidRPr="00ED2883">
        <w:rPr>
          <w:rFonts w:ascii="Arial" w:eastAsia="Times New Roman" w:hAnsi="Arial" w:cs="Arial"/>
          <w:lang w:eastAsia="fr-FR"/>
        </w:rPr>
        <w:t xml:space="preserve"> susceptible de s'effondrer.</w:t>
      </w:r>
    </w:p>
    <w:p w14:paraId="78C75B9B" w14:textId="514B4217" w:rsidR="00B22363" w:rsidRDefault="003F5211" w:rsidP="0021605D">
      <w:pPr>
        <w:spacing w:after="0" w:line="240" w:lineRule="auto"/>
        <w:rPr>
          <w:rFonts w:ascii="Arial" w:eastAsia="Times New Roman" w:hAnsi="Arial" w:cs="Arial"/>
          <w:i/>
          <w:iCs/>
          <w:lang w:eastAsia="fr-FR"/>
        </w:rPr>
      </w:pPr>
      <w:r w:rsidRPr="00ED2883">
        <w:rPr>
          <w:rFonts w:ascii="Arial" w:eastAsia="Times New Roman" w:hAnsi="Arial" w:cs="Arial"/>
          <w:lang w:eastAsia="fr-FR"/>
        </w:rPr>
        <w:t xml:space="preserve">Le respect de cette disposition implique, comme la jurisprudence l'a rappelé en </w:t>
      </w:r>
      <w:r w:rsidR="00094C98" w:rsidRPr="00ED2883">
        <w:rPr>
          <w:rFonts w:ascii="Arial" w:eastAsia="Times New Roman" w:hAnsi="Arial" w:cs="Arial"/>
          <w:lang w:eastAsia="fr-FR"/>
        </w:rPr>
        <w:t>matière</w:t>
      </w:r>
      <w:r w:rsidRPr="00ED2883">
        <w:rPr>
          <w:rFonts w:ascii="Arial" w:eastAsia="Times New Roman" w:hAnsi="Arial" w:cs="Arial"/>
          <w:lang w:eastAsia="fr-FR"/>
        </w:rPr>
        <w:t xml:space="preserve"> d'insalubrité, </w:t>
      </w:r>
      <w:r w:rsidRPr="0021605D">
        <w:rPr>
          <w:rFonts w:ascii="Arial" w:eastAsia="Times New Roman" w:hAnsi="Arial" w:cs="Arial"/>
          <w:b/>
          <w:bCs/>
          <w:i/>
          <w:iCs/>
          <w:lang w:eastAsia="fr-FR"/>
        </w:rPr>
        <w:t xml:space="preserve">que </w:t>
      </w:r>
      <w:r w:rsidRPr="0021605D">
        <w:rPr>
          <w:rFonts w:ascii="Arial" w:eastAsia="Times New Roman" w:hAnsi="Arial" w:cs="Arial"/>
          <w:b/>
          <w:bCs/>
          <w:i/>
          <w:iCs/>
          <w:u w:val="single"/>
          <w:lang w:eastAsia="fr-FR"/>
        </w:rPr>
        <w:t>l'</w:t>
      </w:r>
      <w:r w:rsidR="00094C98" w:rsidRPr="0021605D">
        <w:rPr>
          <w:rFonts w:ascii="Arial" w:eastAsia="Times New Roman" w:hAnsi="Arial" w:cs="Arial"/>
          <w:b/>
          <w:bCs/>
          <w:i/>
          <w:iCs/>
          <w:u w:val="single"/>
          <w:lang w:eastAsia="fr-FR"/>
        </w:rPr>
        <w:t>arrêté</w:t>
      </w:r>
      <w:r w:rsidRPr="0021605D">
        <w:rPr>
          <w:rFonts w:ascii="Arial" w:eastAsia="Times New Roman" w:hAnsi="Arial" w:cs="Arial"/>
          <w:b/>
          <w:bCs/>
          <w:i/>
          <w:iCs/>
          <w:u w:val="single"/>
          <w:lang w:eastAsia="fr-FR"/>
        </w:rPr>
        <w:t xml:space="preserve"> doit, dans ses </w:t>
      </w:r>
      <w:r w:rsidR="00094C98" w:rsidRPr="0021605D">
        <w:rPr>
          <w:rFonts w:ascii="Arial" w:eastAsia="Times New Roman" w:hAnsi="Arial" w:cs="Arial"/>
          <w:b/>
          <w:bCs/>
          <w:i/>
          <w:iCs/>
          <w:u w:val="single"/>
          <w:lang w:eastAsia="fr-FR"/>
        </w:rPr>
        <w:t>considérants,</w:t>
      </w:r>
      <w:r w:rsidRPr="0021605D">
        <w:rPr>
          <w:rFonts w:ascii="Arial" w:eastAsia="Times New Roman" w:hAnsi="Arial" w:cs="Arial"/>
          <w:b/>
          <w:bCs/>
          <w:i/>
          <w:iCs/>
          <w:u w:val="single"/>
          <w:lang w:eastAsia="fr-FR"/>
        </w:rPr>
        <w:t xml:space="preserve"> justifier, chiffrage à l'appui ou démonstration technique, l'interdiction d'habite</w:t>
      </w:r>
      <w:r w:rsidR="00094C98" w:rsidRPr="0021605D">
        <w:rPr>
          <w:rFonts w:ascii="Arial" w:eastAsia="Times New Roman" w:hAnsi="Arial" w:cs="Arial"/>
          <w:b/>
          <w:bCs/>
          <w:i/>
          <w:iCs/>
          <w:u w:val="single"/>
          <w:lang w:eastAsia="fr-FR"/>
        </w:rPr>
        <w:t>r</w:t>
      </w:r>
      <w:r w:rsidRPr="0021605D">
        <w:rPr>
          <w:rFonts w:ascii="Arial" w:eastAsia="Times New Roman" w:hAnsi="Arial" w:cs="Arial"/>
          <w:b/>
          <w:bCs/>
          <w:i/>
          <w:iCs/>
          <w:u w:val="single"/>
          <w:lang w:eastAsia="fr-FR"/>
        </w:rPr>
        <w:t xml:space="preserve"> ou d'</w:t>
      </w:r>
      <w:r w:rsidR="00094C98" w:rsidRPr="0021605D">
        <w:rPr>
          <w:rFonts w:ascii="Arial" w:eastAsia="Times New Roman" w:hAnsi="Arial" w:cs="Arial"/>
          <w:b/>
          <w:bCs/>
          <w:i/>
          <w:iCs/>
          <w:u w:val="single"/>
          <w:lang w:eastAsia="fr-FR"/>
        </w:rPr>
        <w:t>utiliser</w:t>
      </w:r>
      <w:r w:rsidRPr="0021605D">
        <w:rPr>
          <w:rFonts w:ascii="Arial" w:eastAsia="Times New Roman" w:hAnsi="Arial" w:cs="Arial"/>
          <w:b/>
          <w:bCs/>
          <w:i/>
          <w:iCs/>
          <w:u w:val="single"/>
          <w:lang w:eastAsia="fr-FR"/>
        </w:rPr>
        <w:t xml:space="preserve"> les lieux ou la démolition.</w:t>
      </w:r>
      <w:r w:rsidRPr="0021605D">
        <w:rPr>
          <w:rFonts w:ascii="Arial" w:eastAsia="Times New Roman" w:hAnsi="Arial" w:cs="Arial"/>
          <w:i/>
          <w:iCs/>
          <w:lang w:eastAsia="fr-FR"/>
        </w:rPr>
        <w:t xml:space="preserve"> </w:t>
      </w:r>
    </w:p>
    <w:p w14:paraId="49AFF9C0" w14:textId="77777777" w:rsidR="00437A05" w:rsidRPr="0021605D" w:rsidRDefault="00437A05" w:rsidP="0021605D">
      <w:pPr>
        <w:spacing w:after="0" w:line="240" w:lineRule="auto"/>
        <w:rPr>
          <w:rFonts w:ascii="Arial" w:eastAsia="Times New Roman" w:hAnsi="Arial" w:cs="Arial"/>
          <w:i/>
          <w:iCs/>
          <w:lang w:eastAsia="fr-FR"/>
        </w:rPr>
      </w:pPr>
    </w:p>
    <w:p w14:paraId="13123B6D" w14:textId="77777777" w:rsidR="00B22363" w:rsidRPr="00ED2883" w:rsidRDefault="00B22363" w:rsidP="0021605D">
      <w:pPr>
        <w:spacing w:after="0" w:line="240" w:lineRule="auto"/>
        <w:rPr>
          <w:rFonts w:ascii="Arial" w:eastAsia="Times New Roman" w:hAnsi="Arial" w:cs="Arial"/>
          <w:lang w:eastAsia="fr-FR"/>
        </w:rPr>
      </w:pPr>
    </w:p>
    <w:p w14:paraId="3D7E90A6" w14:textId="77777777" w:rsidR="00B22363" w:rsidRPr="0021605D" w:rsidRDefault="00B22363" w:rsidP="0021605D">
      <w:pPr>
        <w:pStyle w:val="Paragraphedeliste"/>
        <w:numPr>
          <w:ilvl w:val="0"/>
          <w:numId w:val="4"/>
        </w:numPr>
        <w:spacing w:after="0" w:line="240" w:lineRule="auto"/>
        <w:ind w:left="284" w:hanging="284"/>
        <w:rPr>
          <w:rFonts w:ascii="Arial" w:eastAsia="Times New Roman" w:hAnsi="Arial" w:cs="Arial"/>
          <w:b/>
          <w:sz w:val="24"/>
          <w:szCs w:val="24"/>
          <w:u w:val="single"/>
          <w:lang w:eastAsia="fr-FR"/>
        </w:rPr>
      </w:pPr>
      <w:r w:rsidRPr="0021605D">
        <w:rPr>
          <w:rFonts w:ascii="Arial" w:eastAsia="Times New Roman" w:hAnsi="Arial" w:cs="Arial"/>
          <w:b/>
          <w:sz w:val="24"/>
          <w:szCs w:val="24"/>
          <w:u w:val="single"/>
          <w:lang w:eastAsia="fr-FR"/>
        </w:rPr>
        <w:t>Intervention des ABF dans l</w:t>
      </w:r>
      <w:r w:rsidR="00F121C9" w:rsidRPr="0021605D">
        <w:rPr>
          <w:rFonts w:ascii="Arial" w:eastAsia="Times New Roman" w:hAnsi="Arial" w:cs="Arial"/>
          <w:b/>
          <w:sz w:val="24"/>
          <w:szCs w:val="24"/>
          <w:u w:val="single"/>
          <w:lang w:eastAsia="fr-FR"/>
        </w:rPr>
        <w:t>'instruction d</w:t>
      </w:r>
      <w:r w:rsidRPr="0021605D">
        <w:rPr>
          <w:rFonts w:ascii="Arial" w:eastAsia="Times New Roman" w:hAnsi="Arial" w:cs="Arial"/>
          <w:b/>
          <w:sz w:val="24"/>
          <w:szCs w:val="24"/>
          <w:u w:val="single"/>
          <w:lang w:eastAsia="fr-FR"/>
        </w:rPr>
        <w:t xml:space="preserve">es </w:t>
      </w:r>
      <w:r w:rsidR="00F121C9" w:rsidRPr="0021605D">
        <w:rPr>
          <w:rFonts w:ascii="Arial" w:eastAsia="Times New Roman" w:hAnsi="Arial" w:cs="Arial"/>
          <w:b/>
          <w:sz w:val="24"/>
          <w:szCs w:val="24"/>
          <w:u w:val="single"/>
          <w:lang w:eastAsia="fr-FR"/>
        </w:rPr>
        <w:t xml:space="preserve">arrêtés </w:t>
      </w:r>
      <w:r w:rsidRPr="0021605D">
        <w:rPr>
          <w:rFonts w:ascii="Arial" w:eastAsia="Times New Roman" w:hAnsi="Arial" w:cs="Arial"/>
          <w:b/>
          <w:sz w:val="24"/>
          <w:szCs w:val="24"/>
          <w:u w:val="single"/>
          <w:lang w:eastAsia="fr-FR"/>
        </w:rPr>
        <w:t xml:space="preserve">d'insalubrité ou de péril/insécurité </w:t>
      </w:r>
    </w:p>
    <w:p w14:paraId="3B801828" w14:textId="77777777" w:rsidR="006526A4" w:rsidRPr="00ED2883" w:rsidRDefault="006526A4" w:rsidP="0021605D">
      <w:pPr>
        <w:pStyle w:val="Paragraphedeliste"/>
        <w:spacing w:after="0" w:line="240" w:lineRule="auto"/>
        <w:ind w:left="1080"/>
        <w:rPr>
          <w:rFonts w:ascii="Arial" w:eastAsia="Times New Roman" w:hAnsi="Arial" w:cs="Arial"/>
          <w:b/>
          <w:u w:val="single"/>
          <w:lang w:eastAsia="fr-FR"/>
        </w:rPr>
      </w:pPr>
    </w:p>
    <w:p w14:paraId="3C2B86EE" w14:textId="77777777" w:rsidR="00B22363" w:rsidRDefault="00B22363" w:rsidP="0021605D">
      <w:pPr>
        <w:spacing w:after="0" w:line="240" w:lineRule="auto"/>
        <w:ind w:firstLine="284"/>
        <w:rPr>
          <w:rFonts w:ascii="Arial" w:eastAsia="Times New Roman" w:hAnsi="Arial" w:cs="Arial"/>
          <w:b/>
          <w:bCs/>
          <w:u w:val="single"/>
          <w:lang w:eastAsia="fr-FR"/>
        </w:rPr>
      </w:pPr>
      <w:r w:rsidRPr="00C05C21">
        <w:rPr>
          <w:rFonts w:ascii="Arial" w:eastAsia="Times New Roman" w:hAnsi="Arial" w:cs="Arial"/>
          <w:b/>
          <w:bCs/>
          <w:u w:val="single"/>
          <w:lang w:eastAsia="fr-FR"/>
        </w:rPr>
        <w:t>I-1. Dans les procédures ”ordinaires ” – non urgentes ou imminentes</w:t>
      </w:r>
    </w:p>
    <w:p w14:paraId="36C0D11D" w14:textId="77777777" w:rsidR="0021605D" w:rsidRPr="00C05C21" w:rsidRDefault="0021605D" w:rsidP="0021605D">
      <w:pPr>
        <w:spacing w:after="0" w:line="240" w:lineRule="auto"/>
        <w:rPr>
          <w:rFonts w:ascii="Arial" w:eastAsia="Times New Roman" w:hAnsi="Arial" w:cs="Arial"/>
          <w:b/>
          <w:bCs/>
          <w:u w:val="single"/>
          <w:lang w:eastAsia="fr-FR"/>
        </w:rPr>
      </w:pPr>
    </w:p>
    <w:p w14:paraId="6CE42E7A" w14:textId="77777777" w:rsidR="00B22363" w:rsidRPr="00ED2883" w:rsidRDefault="00B22363" w:rsidP="0021605D">
      <w:pPr>
        <w:spacing w:after="0" w:line="240" w:lineRule="auto"/>
        <w:rPr>
          <w:rFonts w:ascii="Arial" w:eastAsia="Times New Roman" w:hAnsi="Arial" w:cs="Arial"/>
          <w:lang w:eastAsia="fr-FR"/>
        </w:rPr>
      </w:pPr>
      <w:r w:rsidRPr="00ED2883">
        <w:rPr>
          <w:rFonts w:ascii="Arial" w:eastAsia="Times New Roman" w:hAnsi="Arial" w:cs="Arial"/>
          <w:lang w:eastAsia="fr-FR"/>
        </w:rPr>
        <w:t>L'intervention, obligatoire, de l'ABF se situe à 2 moments qu'il faut bien distinguer :</w:t>
      </w:r>
    </w:p>
    <w:p w14:paraId="08D7EC3E" w14:textId="6C2731AA" w:rsidR="00B22363" w:rsidRPr="00ED2883" w:rsidRDefault="0021605D" w:rsidP="0021605D">
      <w:pPr>
        <w:pStyle w:val="Paragraphedeliste"/>
        <w:numPr>
          <w:ilvl w:val="0"/>
          <w:numId w:val="3"/>
        </w:numPr>
        <w:spacing w:after="0" w:line="240" w:lineRule="auto"/>
        <w:rPr>
          <w:rFonts w:ascii="Arial" w:eastAsia="Times New Roman" w:hAnsi="Arial" w:cs="Arial"/>
          <w:lang w:eastAsia="fr-FR"/>
        </w:rPr>
      </w:pPr>
      <w:r>
        <w:rPr>
          <w:rFonts w:ascii="Arial" w:eastAsia="Times New Roman" w:hAnsi="Arial" w:cs="Arial"/>
          <w:lang w:eastAsia="fr-FR"/>
        </w:rPr>
        <w:t xml:space="preserve">Celui </w:t>
      </w:r>
      <w:r w:rsidR="00B22363" w:rsidRPr="00ED2883">
        <w:rPr>
          <w:rFonts w:ascii="Arial" w:eastAsia="Times New Roman" w:hAnsi="Arial" w:cs="Arial"/>
          <w:lang w:eastAsia="fr-FR"/>
        </w:rPr>
        <w:t>de l'instruction de l'arrêté</w:t>
      </w:r>
    </w:p>
    <w:p w14:paraId="5E8ECBFB" w14:textId="6167264B" w:rsidR="00206C10" w:rsidRPr="00ED2883" w:rsidRDefault="0021605D" w:rsidP="0021605D">
      <w:pPr>
        <w:pStyle w:val="Paragraphedeliste"/>
        <w:numPr>
          <w:ilvl w:val="0"/>
          <w:numId w:val="3"/>
        </w:numPr>
        <w:spacing w:after="0" w:line="240" w:lineRule="auto"/>
        <w:rPr>
          <w:rFonts w:ascii="Arial" w:eastAsia="Times New Roman" w:hAnsi="Arial" w:cs="Arial"/>
          <w:lang w:eastAsia="fr-FR"/>
        </w:rPr>
      </w:pPr>
      <w:r>
        <w:rPr>
          <w:rFonts w:ascii="Arial" w:eastAsia="Times New Roman" w:hAnsi="Arial" w:cs="Arial"/>
          <w:lang w:eastAsia="fr-FR"/>
        </w:rPr>
        <w:t xml:space="preserve">Celui </w:t>
      </w:r>
      <w:r w:rsidR="006526A4">
        <w:rPr>
          <w:rFonts w:ascii="Arial" w:eastAsia="Times New Roman" w:hAnsi="Arial" w:cs="Arial"/>
          <w:lang w:eastAsia="fr-FR"/>
        </w:rPr>
        <w:t>de la réalisation des</w:t>
      </w:r>
      <w:r w:rsidR="00B22363" w:rsidRPr="00ED2883">
        <w:rPr>
          <w:rFonts w:ascii="Arial" w:eastAsia="Times New Roman" w:hAnsi="Arial" w:cs="Arial"/>
          <w:lang w:eastAsia="fr-FR"/>
        </w:rPr>
        <w:t xml:space="preserve"> travaux </w:t>
      </w:r>
      <w:r w:rsidR="006526A4">
        <w:rPr>
          <w:rFonts w:ascii="Arial" w:eastAsia="Times New Roman" w:hAnsi="Arial" w:cs="Arial"/>
          <w:lang w:eastAsia="fr-FR"/>
        </w:rPr>
        <w:t>par</w:t>
      </w:r>
      <w:r w:rsidR="00B22363" w:rsidRPr="00ED2883">
        <w:rPr>
          <w:rFonts w:ascii="Arial" w:eastAsia="Times New Roman" w:hAnsi="Arial" w:cs="Arial"/>
          <w:lang w:eastAsia="fr-FR"/>
        </w:rPr>
        <w:t xml:space="preserve"> le propriétaire en application de l'arrêté </w:t>
      </w:r>
      <w:r w:rsidR="003F5211" w:rsidRPr="00ED2883">
        <w:rPr>
          <w:rFonts w:ascii="Arial" w:eastAsia="Times New Roman" w:hAnsi="Arial" w:cs="Arial"/>
          <w:lang w:eastAsia="fr-FR"/>
        </w:rPr>
        <w:br/>
      </w:r>
    </w:p>
    <w:p w14:paraId="273444A3" w14:textId="77777777" w:rsidR="00CC7585" w:rsidRDefault="00B22363" w:rsidP="0021605D">
      <w:pPr>
        <w:spacing w:after="0" w:line="240" w:lineRule="auto"/>
        <w:ind w:firstLine="708"/>
        <w:rPr>
          <w:rFonts w:ascii="Arial" w:hAnsi="Arial" w:cs="Arial"/>
          <w:b/>
          <w:bCs/>
          <w:i/>
          <w:iCs/>
        </w:rPr>
      </w:pPr>
      <w:r w:rsidRPr="00C05C21">
        <w:rPr>
          <w:rFonts w:ascii="Arial" w:hAnsi="Arial" w:cs="Arial"/>
          <w:b/>
          <w:bCs/>
          <w:i/>
          <w:iCs/>
        </w:rPr>
        <w:t xml:space="preserve">I-1-2. L'instruction d'un arrêté d'insécurité/de péril </w:t>
      </w:r>
    </w:p>
    <w:p w14:paraId="061F16CD" w14:textId="77777777" w:rsidR="0021605D" w:rsidRPr="00C05C21" w:rsidRDefault="0021605D" w:rsidP="0021605D">
      <w:pPr>
        <w:spacing w:after="0" w:line="240" w:lineRule="auto"/>
        <w:ind w:firstLine="360"/>
        <w:rPr>
          <w:rFonts w:ascii="Arial" w:hAnsi="Arial" w:cs="Arial"/>
          <w:b/>
          <w:bCs/>
          <w:i/>
          <w:iCs/>
        </w:rPr>
      </w:pPr>
    </w:p>
    <w:p w14:paraId="1B39DCA3" w14:textId="65FFE19B" w:rsidR="00B8264C" w:rsidRPr="00BC096B" w:rsidRDefault="00B22363" w:rsidP="005863FA">
      <w:pPr>
        <w:spacing w:after="120" w:line="240" w:lineRule="auto"/>
        <w:rPr>
          <w:rFonts w:ascii="Arial" w:hAnsi="Arial" w:cs="Arial"/>
          <w:b/>
          <w:bCs/>
          <w:i/>
          <w:iCs/>
          <w:color w:val="000000" w:themeColor="text1"/>
        </w:rPr>
      </w:pPr>
      <w:r w:rsidRPr="00ED2883">
        <w:rPr>
          <w:rFonts w:ascii="Arial" w:hAnsi="Arial" w:cs="Arial"/>
        </w:rPr>
        <w:t xml:space="preserve">L'art LR511-4 du CCH précise que le service instructeur saisit </w:t>
      </w:r>
      <w:r w:rsidRPr="0021605D">
        <w:rPr>
          <w:rFonts w:ascii="Arial" w:hAnsi="Arial" w:cs="Arial"/>
          <w:b/>
          <w:bCs/>
          <w:i/>
          <w:iCs/>
          <w:u w:val="single"/>
        </w:rPr>
        <w:t>pour avis</w:t>
      </w:r>
      <w:r w:rsidRPr="0021605D">
        <w:rPr>
          <w:rFonts w:ascii="Arial" w:hAnsi="Arial" w:cs="Arial"/>
          <w:b/>
          <w:bCs/>
          <w:i/>
          <w:iCs/>
        </w:rPr>
        <w:t xml:space="preserve"> l'ABF</w:t>
      </w:r>
      <w:r w:rsidR="000A3335" w:rsidRPr="00665C3E">
        <w:rPr>
          <w:rStyle w:val="Appelnotedebasdep"/>
          <w:rFonts w:ascii="Arial" w:hAnsi="Arial" w:cs="Arial"/>
        </w:rPr>
        <w:footnoteReference w:id="4"/>
      </w:r>
      <w:r w:rsidRPr="00665C3E">
        <w:rPr>
          <w:rFonts w:ascii="Arial" w:hAnsi="Arial" w:cs="Arial"/>
        </w:rPr>
        <w:t xml:space="preserve"> du</w:t>
      </w:r>
      <w:r w:rsidRPr="00ED2883">
        <w:rPr>
          <w:rFonts w:ascii="Arial" w:hAnsi="Arial" w:cs="Arial"/>
        </w:rPr>
        <w:t xml:space="preserve"> projet d'</w:t>
      </w:r>
      <w:r w:rsidR="00986C4A" w:rsidRPr="00ED2883">
        <w:rPr>
          <w:rFonts w:ascii="Arial" w:hAnsi="Arial" w:cs="Arial"/>
        </w:rPr>
        <w:t>arrêté</w:t>
      </w:r>
      <w:r w:rsidRPr="00ED2883">
        <w:rPr>
          <w:rFonts w:ascii="Arial" w:hAnsi="Arial" w:cs="Arial"/>
        </w:rPr>
        <w:t xml:space="preserve"> de péril</w:t>
      </w:r>
      <w:r w:rsidR="0021605D">
        <w:rPr>
          <w:rFonts w:ascii="Arial" w:hAnsi="Arial" w:cs="Arial"/>
        </w:rPr>
        <w:t>/ insécurité</w:t>
      </w:r>
      <w:r w:rsidRPr="00ED2883">
        <w:rPr>
          <w:rFonts w:ascii="Arial" w:hAnsi="Arial" w:cs="Arial"/>
        </w:rPr>
        <w:t xml:space="preserve"> et celui-ci doit répondre dans les 15 jours, faute de quoi, son avis </w:t>
      </w:r>
      <w:r w:rsidRPr="00ED2883">
        <w:rPr>
          <w:rFonts w:ascii="Arial" w:hAnsi="Arial" w:cs="Arial"/>
        </w:rPr>
        <w:lastRenderedPageBreak/>
        <w:t>est réputé favorable</w:t>
      </w:r>
      <w:r w:rsidR="00986C4A" w:rsidRPr="00ED2883">
        <w:rPr>
          <w:rFonts w:ascii="Arial" w:hAnsi="Arial" w:cs="Arial"/>
        </w:rPr>
        <w:t xml:space="preserve">. </w:t>
      </w:r>
      <w:r w:rsidR="00B8264C" w:rsidRPr="00ED2883">
        <w:rPr>
          <w:rFonts w:ascii="Arial" w:hAnsi="Arial" w:cs="Arial"/>
        </w:rPr>
        <w:t xml:space="preserve"> Cet avis est simple et ceci depuis des décennies et rien n'a changé en la matière. En effet, si cet avis devait être conforme cela consisterait à renvoyer la qualification du péril à l'ABF, transformé en expert du bâti et à lui en transmettre la responsabilité : </w:t>
      </w:r>
      <w:r w:rsidR="00B8264C" w:rsidRPr="00BC096B">
        <w:rPr>
          <w:rFonts w:ascii="Arial" w:hAnsi="Arial" w:cs="Arial"/>
          <w:b/>
          <w:bCs/>
          <w:i/>
          <w:iCs/>
          <w:color w:val="000000" w:themeColor="text1"/>
        </w:rPr>
        <w:t xml:space="preserve">ce n'est pas </w:t>
      </w:r>
      <w:r w:rsidR="00BC096B" w:rsidRPr="00BC096B">
        <w:rPr>
          <w:rFonts w:ascii="Arial" w:hAnsi="Arial" w:cs="Arial"/>
          <w:b/>
          <w:bCs/>
          <w:i/>
          <w:iCs/>
          <w:color w:val="000000" w:themeColor="text1"/>
        </w:rPr>
        <w:t xml:space="preserve">dans </w:t>
      </w:r>
      <w:r w:rsidR="00B8264C" w:rsidRPr="00BC096B">
        <w:rPr>
          <w:rFonts w:ascii="Arial" w:hAnsi="Arial" w:cs="Arial"/>
          <w:b/>
          <w:bCs/>
          <w:i/>
          <w:iCs/>
          <w:color w:val="000000" w:themeColor="text1"/>
        </w:rPr>
        <w:t xml:space="preserve">le </w:t>
      </w:r>
      <w:r w:rsidR="00BC096B" w:rsidRPr="00BC096B">
        <w:rPr>
          <w:rFonts w:ascii="Arial" w:hAnsi="Arial" w:cs="Arial"/>
          <w:b/>
          <w:bCs/>
          <w:i/>
          <w:iCs/>
          <w:color w:val="000000" w:themeColor="text1"/>
        </w:rPr>
        <w:t xml:space="preserve">champ de compétence </w:t>
      </w:r>
      <w:r w:rsidR="002C7EA6" w:rsidRPr="00BC096B">
        <w:rPr>
          <w:rFonts w:ascii="Arial" w:hAnsi="Arial" w:cs="Arial"/>
          <w:b/>
          <w:bCs/>
          <w:i/>
          <w:iCs/>
          <w:color w:val="000000" w:themeColor="text1"/>
        </w:rPr>
        <w:t xml:space="preserve">juridique </w:t>
      </w:r>
      <w:r w:rsidR="00B8264C" w:rsidRPr="00BC096B">
        <w:rPr>
          <w:rFonts w:ascii="Arial" w:hAnsi="Arial" w:cs="Arial"/>
          <w:b/>
          <w:bCs/>
          <w:i/>
          <w:iCs/>
          <w:color w:val="000000" w:themeColor="text1"/>
        </w:rPr>
        <w:t xml:space="preserve">de l'ABF. </w:t>
      </w:r>
    </w:p>
    <w:p w14:paraId="15D20E44" w14:textId="77777777" w:rsidR="006A2D12" w:rsidRPr="000A3335" w:rsidRDefault="00B8264C" w:rsidP="005863FA">
      <w:pPr>
        <w:spacing w:after="120" w:line="240" w:lineRule="auto"/>
        <w:rPr>
          <w:rFonts w:ascii="Arial" w:hAnsi="Arial" w:cs="Arial"/>
          <w:b/>
          <w:bCs/>
          <w:i/>
          <w:iCs/>
        </w:rPr>
      </w:pPr>
      <w:r w:rsidRPr="00ED2883">
        <w:rPr>
          <w:rFonts w:ascii="Arial" w:hAnsi="Arial" w:cs="Arial"/>
        </w:rPr>
        <w:t xml:space="preserve">Si dans les cas de simples travaux de réparation, l'avis de l'ABF ne </w:t>
      </w:r>
      <w:r w:rsidR="00B33399" w:rsidRPr="00ED2883">
        <w:rPr>
          <w:rFonts w:ascii="Arial" w:hAnsi="Arial" w:cs="Arial"/>
        </w:rPr>
        <w:t xml:space="preserve">se heurte </w:t>
      </w:r>
      <w:r w:rsidRPr="00ED2883">
        <w:rPr>
          <w:rFonts w:ascii="Arial" w:hAnsi="Arial" w:cs="Arial"/>
        </w:rPr>
        <w:t xml:space="preserve">pas </w:t>
      </w:r>
      <w:r w:rsidR="00B33399" w:rsidRPr="00ED2883">
        <w:rPr>
          <w:rFonts w:ascii="Arial" w:hAnsi="Arial" w:cs="Arial"/>
        </w:rPr>
        <w:t xml:space="preserve">à des </w:t>
      </w:r>
      <w:r w:rsidR="0032082F" w:rsidRPr="00ED2883">
        <w:rPr>
          <w:rFonts w:ascii="Arial" w:hAnsi="Arial" w:cs="Arial"/>
        </w:rPr>
        <w:t>difficultés particulières</w:t>
      </w:r>
      <w:r w:rsidRPr="00ED2883">
        <w:rPr>
          <w:rFonts w:ascii="Arial" w:hAnsi="Arial" w:cs="Arial"/>
        </w:rPr>
        <w:t xml:space="preserve">, il n'en est pas de </w:t>
      </w:r>
      <w:r w:rsidR="00B33399" w:rsidRPr="00ED2883">
        <w:rPr>
          <w:rFonts w:ascii="Arial" w:hAnsi="Arial" w:cs="Arial"/>
        </w:rPr>
        <w:t>même</w:t>
      </w:r>
      <w:r w:rsidRPr="00ED2883">
        <w:rPr>
          <w:rFonts w:ascii="Arial" w:hAnsi="Arial" w:cs="Arial"/>
        </w:rPr>
        <w:t xml:space="preserve"> lorsque l'</w:t>
      </w:r>
      <w:r w:rsidR="00B33399" w:rsidRPr="00ED2883">
        <w:rPr>
          <w:rFonts w:ascii="Arial" w:hAnsi="Arial" w:cs="Arial"/>
        </w:rPr>
        <w:t>arrêté</w:t>
      </w:r>
      <w:r w:rsidRPr="00ED2883">
        <w:rPr>
          <w:rFonts w:ascii="Arial" w:hAnsi="Arial" w:cs="Arial"/>
        </w:rPr>
        <w:t xml:space="preserve"> dit d'insécurité (</w:t>
      </w:r>
      <w:r w:rsidR="00B33399" w:rsidRPr="00ED2883">
        <w:rPr>
          <w:rFonts w:ascii="Arial" w:hAnsi="Arial" w:cs="Arial"/>
        </w:rPr>
        <w:t>péril</w:t>
      </w:r>
      <w:r w:rsidRPr="00ED2883">
        <w:rPr>
          <w:rFonts w:ascii="Arial" w:hAnsi="Arial" w:cs="Arial"/>
        </w:rPr>
        <w:t xml:space="preserve">) ordonne la démolition du </w:t>
      </w:r>
      <w:r w:rsidR="00B33399" w:rsidRPr="00ED2883">
        <w:rPr>
          <w:rFonts w:ascii="Arial" w:hAnsi="Arial" w:cs="Arial"/>
        </w:rPr>
        <w:t>bâtiment</w:t>
      </w:r>
      <w:r w:rsidRPr="00ED2883">
        <w:rPr>
          <w:rFonts w:ascii="Arial" w:hAnsi="Arial" w:cs="Arial"/>
        </w:rPr>
        <w:t>.</w:t>
      </w:r>
      <w:r w:rsidR="00B33399" w:rsidRPr="00ED2883">
        <w:rPr>
          <w:rFonts w:ascii="Arial" w:hAnsi="Arial" w:cs="Arial"/>
        </w:rPr>
        <w:t xml:space="preserve"> On rappelle qu'en application du L511-11 du CCH l'instructeur doit justifier la démolition soit par l'impossibilité technique soit, le plus souvent, par l'évaluation du cout des travaux rapporté au cout de la reconstruction du bâtiment pour mettre fin aux désordres, cout incluant celui de la démolition (jurisprudence du Conseil d'Etat).</w:t>
      </w:r>
      <w:r w:rsidR="006A2D12" w:rsidRPr="00ED2883">
        <w:rPr>
          <w:rFonts w:ascii="Arial" w:hAnsi="Arial" w:cs="Arial"/>
        </w:rPr>
        <w:t xml:space="preserve"> </w:t>
      </w:r>
      <w:r w:rsidR="006A2D12" w:rsidRPr="000A3335">
        <w:rPr>
          <w:rFonts w:ascii="Arial" w:hAnsi="Arial" w:cs="Arial"/>
          <w:b/>
          <w:bCs/>
          <w:i/>
          <w:iCs/>
        </w:rPr>
        <w:t xml:space="preserve">Ces éléments chiffrés doivent apparaitre dans les considérants de l'arrêté. </w:t>
      </w:r>
    </w:p>
    <w:p w14:paraId="367A1142" w14:textId="07AAF7C0" w:rsidR="00B22363" w:rsidRDefault="00B33399" w:rsidP="005863FA">
      <w:pPr>
        <w:spacing w:after="120" w:line="240" w:lineRule="auto"/>
        <w:rPr>
          <w:rFonts w:ascii="Arial" w:hAnsi="Arial" w:cs="Arial"/>
          <w:b/>
          <w:bCs/>
          <w:i/>
        </w:rPr>
      </w:pPr>
      <w:r w:rsidRPr="00ED2883">
        <w:rPr>
          <w:rFonts w:ascii="Arial" w:hAnsi="Arial" w:cs="Arial"/>
        </w:rPr>
        <w:t xml:space="preserve">Aussi dans le cas </w:t>
      </w:r>
      <w:r w:rsidR="0032082F" w:rsidRPr="00ED2883">
        <w:rPr>
          <w:rFonts w:ascii="Arial" w:hAnsi="Arial" w:cs="Arial"/>
        </w:rPr>
        <w:t>où</w:t>
      </w:r>
      <w:r w:rsidRPr="00ED2883">
        <w:rPr>
          <w:rFonts w:ascii="Arial" w:hAnsi="Arial" w:cs="Arial"/>
        </w:rPr>
        <w:t xml:space="preserve"> la démolition du bâtiment est prévue par le projet d'arrêté, l'ABF doit, évidemment, formuler un avis </w:t>
      </w:r>
      <w:r w:rsidR="00CB6537" w:rsidRPr="00ED2883">
        <w:rPr>
          <w:rFonts w:ascii="Arial" w:hAnsi="Arial" w:cs="Arial"/>
        </w:rPr>
        <w:t xml:space="preserve">explicite </w:t>
      </w:r>
      <w:r w:rsidRPr="00ED2883">
        <w:rPr>
          <w:rFonts w:ascii="Arial" w:hAnsi="Arial" w:cs="Arial"/>
        </w:rPr>
        <w:t>et, à ce titre, il peut demander toutes justifications techniques, discuter avec l'expert ou le</w:t>
      </w:r>
      <w:r w:rsidR="002141B2">
        <w:rPr>
          <w:rFonts w:ascii="Arial" w:hAnsi="Arial" w:cs="Arial"/>
        </w:rPr>
        <w:t>s services de la ville, le cas échéant le</w:t>
      </w:r>
      <w:r w:rsidRPr="00ED2883">
        <w:rPr>
          <w:rFonts w:ascii="Arial" w:hAnsi="Arial" w:cs="Arial"/>
        </w:rPr>
        <w:t xml:space="preserve"> bureau </w:t>
      </w:r>
      <w:r w:rsidR="00243FEB">
        <w:rPr>
          <w:rFonts w:ascii="Arial" w:hAnsi="Arial" w:cs="Arial"/>
        </w:rPr>
        <w:t xml:space="preserve">d’économiste de la construction </w:t>
      </w:r>
      <w:r w:rsidRPr="00ED2883">
        <w:rPr>
          <w:rFonts w:ascii="Arial" w:hAnsi="Arial" w:cs="Arial"/>
        </w:rPr>
        <w:t xml:space="preserve">qui a procédé </w:t>
      </w:r>
      <w:r w:rsidR="0032082F" w:rsidRPr="00ED2883">
        <w:rPr>
          <w:rFonts w:ascii="Arial" w:hAnsi="Arial" w:cs="Arial"/>
        </w:rPr>
        <w:t>à</w:t>
      </w:r>
      <w:r w:rsidRPr="00ED2883">
        <w:rPr>
          <w:rFonts w:ascii="Arial" w:hAnsi="Arial" w:cs="Arial"/>
        </w:rPr>
        <w:t xml:space="preserve"> l'évaluation </w:t>
      </w:r>
      <w:r w:rsidR="00243FEB">
        <w:rPr>
          <w:rFonts w:ascii="Arial" w:hAnsi="Arial" w:cs="Arial"/>
        </w:rPr>
        <w:t xml:space="preserve">financière </w:t>
      </w:r>
      <w:r w:rsidRPr="00ED2883">
        <w:rPr>
          <w:rFonts w:ascii="Arial" w:hAnsi="Arial" w:cs="Arial"/>
        </w:rPr>
        <w:t xml:space="preserve">du péril, négocier l'ampleur de la démolition, selon l'état et la situation de l'immeuble. </w:t>
      </w:r>
      <w:r w:rsidRPr="00ED2883">
        <w:rPr>
          <w:rFonts w:ascii="Arial" w:hAnsi="Arial" w:cs="Arial"/>
          <w:i/>
        </w:rPr>
        <w:t xml:space="preserve">Faute pour </w:t>
      </w:r>
      <w:r w:rsidRPr="002141B2">
        <w:rPr>
          <w:rFonts w:ascii="Arial" w:hAnsi="Arial" w:cs="Arial"/>
          <w:b/>
          <w:bCs/>
          <w:i/>
        </w:rPr>
        <w:t>l'ABF de formuler son avis à ce stade, il ne pourra plus s'opposer à la démolition, celle-ci</w:t>
      </w:r>
      <w:r w:rsidR="00665C3E">
        <w:rPr>
          <w:rFonts w:ascii="Arial" w:hAnsi="Arial" w:cs="Arial"/>
          <w:b/>
          <w:bCs/>
          <w:i/>
        </w:rPr>
        <w:t>,</w:t>
      </w:r>
      <w:r w:rsidRPr="002141B2">
        <w:rPr>
          <w:rFonts w:ascii="Arial" w:hAnsi="Arial" w:cs="Arial"/>
          <w:b/>
          <w:bCs/>
          <w:i/>
        </w:rPr>
        <w:t xml:space="preserve"> dans ce cas précis, étant dispensée de permis de démolir, en application du b) de l'art R421-29</w:t>
      </w:r>
      <w:r w:rsidR="00F44C72">
        <w:rPr>
          <w:rFonts w:ascii="Arial" w:hAnsi="Arial" w:cs="Arial"/>
          <w:b/>
          <w:bCs/>
          <w:i/>
        </w:rPr>
        <w:t xml:space="preserve"> du code de l’urbanisme</w:t>
      </w:r>
      <w:r w:rsidRPr="002141B2">
        <w:rPr>
          <w:rFonts w:ascii="Arial" w:hAnsi="Arial" w:cs="Arial"/>
          <w:b/>
          <w:bCs/>
          <w:i/>
        </w:rPr>
        <w:t xml:space="preserve">. </w:t>
      </w:r>
    </w:p>
    <w:p w14:paraId="424C59F3" w14:textId="77777777" w:rsidR="00C05C21" w:rsidRPr="002141B2" w:rsidRDefault="00C05C21" w:rsidP="005863FA">
      <w:pPr>
        <w:spacing w:after="120" w:line="240" w:lineRule="auto"/>
        <w:rPr>
          <w:rFonts w:ascii="Arial" w:hAnsi="Arial" w:cs="Arial"/>
          <w:b/>
          <w:bCs/>
          <w:i/>
        </w:rPr>
      </w:pPr>
    </w:p>
    <w:p w14:paraId="03F4E08E" w14:textId="77777777" w:rsidR="00F121C9" w:rsidRPr="00C05C21" w:rsidRDefault="00F121C9" w:rsidP="005863FA">
      <w:pPr>
        <w:spacing w:after="120" w:line="240" w:lineRule="auto"/>
        <w:ind w:firstLine="708"/>
        <w:rPr>
          <w:rFonts w:ascii="Arial" w:hAnsi="Arial" w:cs="Arial"/>
          <w:b/>
          <w:bCs/>
          <w:i/>
          <w:iCs/>
        </w:rPr>
      </w:pPr>
      <w:r w:rsidRPr="00C05C21">
        <w:rPr>
          <w:rFonts w:ascii="Arial" w:hAnsi="Arial" w:cs="Arial"/>
          <w:b/>
          <w:bCs/>
          <w:i/>
          <w:iCs/>
        </w:rPr>
        <w:t xml:space="preserve">I-1-3- l'instruction d'un arrêté d'insalubrité </w:t>
      </w:r>
    </w:p>
    <w:p w14:paraId="64575750" w14:textId="0A355503" w:rsidR="00F121C9" w:rsidRPr="00993E53" w:rsidRDefault="006A2D12" w:rsidP="005863FA">
      <w:pPr>
        <w:spacing w:after="120" w:line="240" w:lineRule="auto"/>
        <w:rPr>
          <w:rFonts w:ascii="Arial" w:hAnsi="Arial" w:cs="Arial"/>
          <w:b/>
          <w:bCs/>
          <w:i/>
          <w:iCs/>
        </w:rPr>
      </w:pPr>
      <w:r w:rsidRPr="00ED2883">
        <w:rPr>
          <w:rFonts w:ascii="Arial" w:hAnsi="Arial" w:cs="Arial"/>
        </w:rPr>
        <w:t xml:space="preserve">L'ABF intervient dans les mêmes termes et sur les mêmes bases juridiques lors de l'instruction par l'ARS ou le SCHS de la commune, d'un arrêté d'insalubrité. Dans la majorité des cas, l'arrêté d'insalubrité prescrit des travaux de réparation. Lorsque l'état de dégradation du bâtiment est tel que </w:t>
      </w:r>
      <w:r w:rsidR="00EC5A6D" w:rsidRPr="00ED2883">
        <w:rPr>
          <w:rFonts w:ascii="Arial" w:hAnsi="Arial" w:cs="Arial"/>
        </w:rPr>
        <w:t>s</w:t>
      </w:r>
      <w:r w:rsidRPr="00ED2883">
        <w:rPr>
          <w:rFonts w:ascii="Arial" w:hAnsi="Arial" w:cs="Arial"/>
        </w:rPr>
        <w:t xml:space="preserve">a structure et </w:t>
      </w:r>
      <w:r w:rsidR="00EC5A6D" w:rsidRPr="00ED2883">
        <w:rPr>
          <w:rFonts w:ascii="Arial" w:hAnsi="Arial" w:cs="Arial"/>
        </w:rPr>
        <w:t>s</w:t>
      </w:r>
      <w:r w:rsidRPr="00ED2883">
        <w:rPr>
          <w:rFonts w:ascii="Arial" w:hAnsi="Arial" w:cs="Arial"/>
        </w:rPr>
        <w:t>a solidi</w:t>
      </w:r>
      <w:r w:rsidR="00EC5A6D" w:rsidRPr="00ED2883">
        <w:rPr>
          <w:rFonts w:ascii="Arial" w:hAnsi="Arial" w:cs="Arial"/>
        </w:rPr>
        <w:t xml:space="preserve">té sont </w:t>
      </w:r>
      <w:r w:rsidRPr="00ED2883">
        <w:rPr>
          <w:rFonts w:ascii="Arial" w:hAnsi="Arial" w:cs="Arial"/>
        </w:rPr>
        <w:t>mise</w:t>
      </w:r>
      <w:r w:rsidR="00EC5A6D" w:rsidRPr="00ED2883">
        <w:rPr>
          <w:rFonts w:ascii="Arial" w:hAnsi="Arial" w:cs="Arial"/>
        </w:rPr>
        <w:t>s</w:t>
      </w:r>
      <w:r w:rsidRPr="00ED2883">
        <w:rPr>
          <w:rFonts w:ascii="Arial" w:hAnsi="Arial" w:cs="Arial"/>
        </w:rPr>
        <w:t xml:space="preserve"> en cause, l'arrêté peut prescrire l'interdiction définitive d'habiter et, le cas échéant, la démolition du bâtiment en cause. Pour justifier ces mesures, l'autorité administrative doit établir soit l'impossibilité technique de faire les travaux de réparation, soit que leur cout est supérieur à celui de la reconstruction, frais de démolition inclus. </w:t>
      </w:r>
      <w:r w:rsidRPr="00993E53">
        <w:rPr>
          <w:rFonts w:ascii="Arial" w:hAnsi="Arial" w:cs="Arial"/>
          <w:b/>
          <w:bCs/>
          <w:i/>
          <w:iCs/>
        </w:rPr>
        <w:t>Ces derniers éléments chiffrés doivent apparaitre dans les considérants de l'arrêté</w:t>
      </w:r>
      <w:r w:rsidR="00993E53">
        <w:rPr>
          <w:rFonts w:ascii="Arial" w:hAnsi="Arial" w:cs="Arial"/>
          <w:b/>
          <w:bCs/>
          <w:i/>
          <w:iCs/>
        </w:rPr>
        <w:t>, comme l’a confirmé une importante jurisprudence administrative.</w:t>
      </w:r>
    </w:p>
    <w:p w14:paraId="05BD8CF4" w14:textId="77777777" w:rsidR="000765B1" w:rsidRPr="00ED2883" w:rsidRDefault="006A2D12" w:rsidP="005863FA">
      <w:pPr>
        <w:spacing w:after="120" w:line="240" w:lineRule="auto"/>
        <w:rPr>
          <w:rFonts w:ascii="Arial" w:hAnsi="Arial" w:cs="Arial"/>
        </w:rPr>
      </w:pPr>
      <w:r w:rsidRPr="00ED2883">
        <w:rPr>
          <w:rFonts w:ascii="Arial" w:hAnsi="Arial" w:cs="Arial"/>
        </w:rPr>
        <w:t xml:space="preserve">Sauf en cas d'habitations précaires et proprement inhabitables, les </w:t>
      </w:r>
      <w:r w:rsidR="000765B1" w:rsidRPr="00ED2883">
        <w:rPr>
          <w:rFonts w:ascii="Arial" w:hAnsi="Arial" w:cs="Arial"/>
        </w:rPr>
        <w:t>arrêtés</w:t>
      </w:r>
      <w:r w:rsidRPr="00ED2883">
        <w:rPr>
          <w:rFonts w:ascii="Arial" w:hAnsi="Arial" w:cs="Arial"/>
        </w:rPr>
        <w:t xml:space="preserve"> d'insalubrité prescrivent rarement la démolition, d'autant plus qu</w:t>
      </w:r>
      <w:r w:rsidR="000765B1" w:rsidRPr="00ED2883">
        <w:rPr>
          <w:rFonts w:ascii="Arial" w:hAnsi="Arial" w:cs="Arial"/>
        </w:rPr>
        <w:t xml:space="preserve">e les locaux en cause </w:t>
      </w:r>
      <w:r w:rsidRPr="00ED2883">
        <w:rPr>
          <w:rFonts w:ascii="Arial" w:hAnsi="Arial" w:cs="Arial"/>
        </w:rPr>
        <w:t xml:space="preserve">sont </w:t>
      </w:r>
      <w:r w:rsidR="000765B1" w:rsidRPr="00ED2883">
        <w:rPr>
          <w:rFonts w:ascii="Arial" w:hAnsi="Arial" w:cs="Arial"/>
        </w:rPr>
        <w:t xml:space="preserve">normalement </w:t>
      </w:r>
      <w:r w:rsidRPr="00ED2883">
        <w:rPr>
          <w:rFonts w:ascii="Arial" w:hAnsi="Arial" w:cs="Arial"/>
        </w:rPr>
        <w:t>occupés</w:t>
      </w:r>
      <w:r w:rsidR="000765B1" w:rsidRPr="00ED2883">
        <w:rPr>
          <w:rFonts w:ascii="Arial" w:hAnsi="Arial" w:cs="Arial"/>
        </w:rPr>
        <w:t xml:space="preserve">. Le plus souvent, l'arrêté prescrit l'interdiction définitive d'habiter, ce à quoi, l'ABF ne peut s'opposer. </w:t>
      </w:r>
    </w:p>
    <w:p w14:paraId="53D52DE7" w14:textId="44D52329" w:rsidR="000765B1" w:rsidRPr="002141B2" w:rsidRDefault="000765B1" w:rsidP="005863FA">
      <w:pPr>
        <w:spacing w:after="120" w:line="240" w:lineRule="auto"/>
        <w:rPr>
          <w:rFonts w:ascii="Arial" w:hAnsi="Arial" w:cs="Arial"/>
          <w:b/>
          <w:bCs/>
          <w:i/>
          <w:iCs/>
        </w:rPr>
      </w:pPr>
      <w:r w:rsidRPr="002141B2">
        <w:rPr>
          <w:rFonts w:ascii="Arial" w:hAnsi="Arial" w:cs="Arial"/>
          <w:b/>
          <w:bCs/>
          <w:i/>
          <w:iCs/>
        </w:rPr>
        <w:t xml:space="preserve">Au cas où la démolition du bâtiment est prévue par le projet d'arrêté, l'ABF doit, comme en matière de péril, formuler un avis </w:t>
      </w:r>
      <w:r w:rsidR="002141B2" w:rsidRPr="002141B2">
        <w:rPr>
          <w:rFonts w:ascii="Arial" w:hAnsi="Arial" w:cs="Arial"/>
          <w:b/>
          <w:bCs/>
          <w:i/>
          <w:iCs/>
        </w:rPr>
        <w:t>explicite, faute</w:t>
      </w:r>
      <w:r w:rsidRPr="002141B2">
        <w:rPr>
          <w:rFonts w:ascii="Arial" w:hAnsi="Arial" w:cs="Arial"/>
          <w:b/>
          <w:bCs/>
          <w:i/>
          <w:iCs/>
        </w:rPr>
        <w:t xml:space="preserve"> de quoi, il ne pourra plus s'opposer à la démolition, celle-ci dans ce cas précis, étant dispensée de permis de démolir, en application du b) de l'art R421-29</w:t>
      </w:r>
      <w:r w:rsidR="00F44C72">
        <w:rPr>
          <w:rFonts w:ascii="Arial" w:hAnsi="Arial" w:cs="Arial"/>
          <w:b/>
          <w:bCs/>
          <w:i/>
          <w:iCs/>
        </w:rPr>
        <w:t xml:space="preserve"> du code de l’urbanisme</w:t>
      </w:r>
      <w:r w:rsidRPr="002141B2">
        <w:rPr>
          <w:rFonts w:ascii="Arial" w:hAnsi="Arial" w:cs="Arial"/>
          <w:b/>
          <w:bCs/>
          <w:i/>
          <w:iCs/>
        </w:rPr>
        <w:t xml:space="preserve">. </w:t>
      </w:r>
    </w:p>
    <w:p w14:paraId="344ED8C6" w14:textId="77777777" w:rsidR="006526A4" w:rsidRPr="00ED2883" w:rsidRDefault="006526A4" w:rsidP="005863FA">
      <w:pPr>
        <w:spacing w:after="120" w:line="240" w:lineRule="auto"/>
        <w:rPr>
          <w:rFonts w:ascii="Arial" w:hAnsi="Arial" w:cs="Arial"/>
        </w:rPr>
      </w:pPr>
    </w:p>
    <w:p w14:paraId="4FDF064F" w14:textId="77777777" w:rsidR="00F121C9" w:rsidRPr="00C05C21" w:rsidRDefault="00F121C9" w:rsidP="00697540">
      <w:pPr>
        <w:spacing w:after="120" w:line="240" w:lineRule="auto"/>
        <w:ind w:firstLine="284"/>
        <w:rPr>
          <w:rFonts w:ascii="Arial" w:hAnsi="Arial" w:cs="Arial"/>
          <w:b/>
          <w:bCs/>
          <w:u w:val="single"/>
        </w:rPr>
      </w:pPr>
      <w:r w:rsidRPr="00C05C21">
        <w:rPr>
          <w:rFonts w:ascii="Arial" w:hAnsi="Arial" w:cs="Arial"/>
          <w:b/>
          <w:bCs/>
          <w:u w:val="single"/>
        </w:rPr>
        <w:t xml:space="preserve">I-2. Dans les procédures d'urgence </w:t>
      </w:r>
    </w:p>
    <w:p w14:paraId="1CDB9AE9" w14:textId="0EFF1609" w:rsidR="00C05C21" w:rsidRDefault="00F121C9" w:rsidP="006526A4">
      <w:pPr>
        <w:spacing w:after="120" w:line="240" w:lineRule="auto"/>
        <w:rPr>
          <w:rFonts w:ascii="Arial" w:hAnsi="Arial" w:cs="Arial"/>
        </w:rPr>
      </w:pPr>
      <w:r w:rsidRPr="00ED2883">
        <w:rPr>
          <w:rFonts w:ascii="Arial" w:hAnsi="Arial" w:cs="Arial"/>
        </w:rPr>
        <w:t>En insécurité/péril</w:t>
      </w:r>
      <w:r w:rsidR="000765B1" w:rsidRPr="00ED2883">
        <w:rPr>
          <w:rFonts w:ascii="Arial" w:hAnsi="Arial" w:cs="Arial"/>
        </w:rPr>
        <w:t>, comme en insalubrité (mais les conséquences sont moindres) l'ABF est informé du projet d'arrêté d'urgence – péril imminent dans la formulation précédente</w:t>
      </w:r>
      <w:r w:rsidR="00697540">
        <w:rPr>
          <w:rFonts w:ascii="Arial" w:hAnsi="Arial" w:cs="Arial"/>
        </w:rPr>
        <w:t xml:space="preserve"> -</w:t>
      </w:r>
      <w:r w:rsidR="000765B1" w:rsidRPr="00ED2883">
        <w:rPr>
          <w:rFonts w:ascii="Arial" w:hAnsi="Arial" w:cs="Arial"/>
        </w:rPr>
        <w:t xml:space="preserve"> en application du R511-4 du CCH. </w:t>
      </w:r>
    </w:p>
    <w:p w14:paraId="7FD1556C" w14:textId="28DA6323" w:rsidR="00695149" w:rsidRDefault="000765B1" w:rsidP="006526A4">
      <w:pPr>
        <w:spacing w:after="120" w:line="240" w:lineRule="auto"/>
        <w:rPr>
          <w:rFonts w:ascii="Arial" w:hAnsi="Arial" w:cs="Arial"/>
        </w:rPr>
      </w:pPr>
      <w:r w:rsidRPr="00ED2883">
        <w:rPr>
          <w:rFonts w:ascii="Arial" w:hAnsi="Arial" w:cs="Arial"/>
        </w:rPr>
        <w:t xml:space="preserve">On rappelle qu'un arrêté d'urgence, justifiée par celle-ci, est édicté sans procédure contradictoire vis-à-vis du propriétaire, ce qui a pour conséquence qu'un tel arrêté ne peut prescrire que </w:t>
      </w:r>
      <w:r w:rsidRPr="00ED2883">
        <w:rPr>
          <w:rFonts w:ascii="Arial" w:hAnsi="Arial" w:cs="Arial"/>
          <w:u w:val="single"/>
        </w:rPr>
        <w:t>des mesures provisoires ou confortatives</w:t>
      </w:r>
      <w:r w:rsidRPr="00ED2883">
        <w:rPr>
          <w:rFonts w:ascii="Arial" w:hAnsi="Arial" w:cs="Arial"/>
        </w:rPr>
        <w:t xml:space="preserve"> et non des réparations pérennes</w:t>
      </w:r>
      <w:r w:rsidR="00695149">
        <w:rPr>
          <w:rStyle w:val="Appelnotedebasdep"/>
          <w:rFonts w:ascii="Arial" w:hAnsi="Arial" w:cs="Arial"/>
        </w:rPr>
        <w:footnoteReference w:id="5"/>
      </w:r>
      <w:r w:rsidRPr="00ED2883">
        <w:rPr>
          <w:rFonts w:ascii="Arial" w:hAnsi="Arial" w:cs="Arial"/>
        </w:rPr>
        <w:t xml:space="preserve">. </w:t>
      </w:r>
      <w:r w:rsidRPr="00ED2883">
        <w:rPr>
          <w:rFonts w:ascii="Arial" w:hAnsi="Arial" w:cs="Arial"/>
        </w:rPr>
        <w:lastRenderedPageBreak/>
        <w:t xml:space="preserve">L'ABF, informé, peut vérifier le cas </w:t>
      </w:r>
      <w:r w:rsidR="00E835E7" w:rsidRPr="00ED2883">
        <w:rPr>
          <w:rFonts w:ascii="Arial" w:hAnsi="Arial" w:cs="Arial"/>
        </w:rPr>
        <w:t>échéant</w:t>
      </w:r>
      <w:r w:rsidRPr="00ED2883">
        <w:rPr>
          <w:rFonts w:ascii="Arial" w:hAnsi="Arial" w:cs="Arial"/>
        </w:rPr>
        <w:t xml:space="preserve"> que les </w:t>
      </w:r>
      <w:r w:rsidR="0032082F" w:rsidRPr="00ED2883">
        <w:rPr>
          <w:rFonts w:ascii="Arial" w:hAnsi="Arial" w:cs="Arial"/>
        </w:rPr>
        <w:t>prescriptions édictées</w:t>
      </w:r>
      <w:r w:rsidRPr="00ED2883">
        <w:rPr>
          <w:rFonts w:ascii="Arial" w:hAnsi="Arial" w:cs="Arial"/>
        </w:rPr>
        <w:t xml:space="preserve"> </w:t>
      </w:r>
      <w:r w:rsidR="00E835E7" w:rsidRPr="00ED2883">
        <w:rPr>
          <w:rFonts w:ascii="Arial" w:hAnsi="Arial" w:cs="Arial"/>
        </w:rPr>
        <w:t xml:space="preserve">restent dans ces limites </w:t>
      </w:r>
      <w:r w:rsidRPr="00ED2883">
        <w:rPr>
          <w:rFonts w:ascii="Arial" w:hAnsi="Arial" w:cs="Arial"/>
        </w:rPr>
        <w:t xml:space="preserve">ne mettent pas en cause </w:t>
      </w:r>
      <w:r w:rsidR="00E835E7" w:rsidRPr="00ED2883">
        <w:rPr>
          <w:rFonts w:ascii="Arial" w:hAnsi="Arial" w:cs="Arial"/>
        </w:rPr>
        <w:t>l'intégrité du bâtiment</w:t>
      </w:r>
      <w:r w:rsidR="00D122D8" w:rsidRPr="00ED2883">
        <w:rPr>
          <w:rFonts w:ascii="Arial" w:hAnsi="Arial" w:cs="Arial"/>
        </w:rPr>
        <w:t>.</w:t>
      </w:r>
      <w:r w:rsidR="006526A4">
        <w:rPr>
          <w:rFonts w:ascii="Arial" w:hAnsi="Arial" w:cs="Arial"/>
        </w:rPr>
        <w:t xml:space="preserve"> </w:t>
      </w:r>
      <w:r w:rsidR="00E835E7" w:rsidRPr="00ED2883">
        <w:rPr>
          <w:rFonts w:ascii="Arial" w:hAnsi="Arial" w:cs="Arial"/>
        </w:rPr>
        <w:t xml:space="preserve">Il se peut, néanmoins, que l'état de péril d'un bâtiment soit tel qu'il menace de s'écrouler et que sa démolition soit la seule solution technique. </w:t>
      </w:r>
      <w:r w:rsidR="00C05C21">
        <w:rPr>
          <w:rFonts w:ascii="Arial" w:hAnsi="Arial" w:cs="Arial"/>
        </w:rPr>
        <w:t xml:space="preserve">Avant l’ordonnance de 2020, un </w:t>
      </w:r>
      <w:r w:rsidR="00697540">
        <w:rPr>
          <w:rFonts w:ascii="Arial" w:hAnsi="Arial" w:cs="Arial"/>
        </w:rPr>
        <w:t>arrêté</w:t>
      </w:r>
      <w:r w:rsidR="00C05C21">
        <w:rPr>
          <w:rFonts w:ascii="Arial" w:hAnsi="Arial" w:cs="Arial"/>
        </w:rPr>
        <w:t xml:space="preserve"> de péril imminent ne pouvait pas prescrire la démolition d’un </w:t>
      </w:r>
      <w:r w:rsidR="00697540">
        <w:rPr>
          <w:rFonts w:ascii="Arial" w:hAnsi="Arial" w:cs="Arial"/>
        </w:rPr>
        <w:t>bâtiment</w:t>
      </w:r>
      <w:r w:rsidR="00C05C21">
        <w:rPr>
          <w:rFonts w:ascii="Arial" w:hAnsi="Arial" w:cs="Arial"/>
        </w:rPr>
        <w:t xml:space="preserve">, selon une jurisprudence constante du Conseil d’Etat. Seul un </w:t>
      </w:r>
      <w:r w:rsidR="00697540">
        <w:rPr>
          <w:rFonts w:ascii="Arial" w:hAnsi="Arial" w:cs="Arial"/>
        </w:rPr>
        <w:t>arrêté</w:t>
      </w:r>
      <w:r w:rsidR="00C05C21">
        <w:rPr>
          <w:rFonts w:ascii="Arial" w:hAnsi="Arial" w:cs="Arial"/>
        </w:rPr>
        <w:t xml:space="preserve"> du maire en police générale pouvait le faire en cas de risque immédiat pour la sécurité publique.</w:t>
      </w:r>
    </w:p>
    <w:p w14:paraId="3A01F17F" w14:textId="02472E8C" w:rsidR="00E95A30" w:rsidRPr="00697540" w:rsidRDefault="00E835E7" w:rsidP="006526A4">
      <w:pPr>
        <w:spacing w:after="120" w:line="240" w:lineRule="auto"/>
        <w:rPr>
          <w:rFonts w:ascii="Arial" w:hAnsi="Arial" w:cs="Arial"/>
          <w:color w:val="7030A0"/>
        </w:rPr>
      </w:pPr>
      <w:r w:rsidRPr="00ED2883">
        <w:rPr>
          <w:rFonts w:ascii="Arial" w:hAnsi="Arial" w:cs="Arial"/>
        </w:rPr>
        <w:t xml:space="preserve">L'art </w:t>
      </w:r>
      <w:r w:rsidRPr="00697540">
        <w:rPr>
          <w:rFonts w:ascii="Arial" w:hAnsi="Arial" w:cs="Arial"/>
          <w:b/>
          <w:bCs/>
          <w:color w:val="7030A0"/>
        </w:rPr>
        <w:t>L511-19 nouveau du CCH</w:t>
      </w:r>
      <w:r w:rsidRPr="00ED2883">
        <w:rPr>
          <w:rFonts w:ascii="Arial" w:hAnsi="Arial" w:cs="Arial"/>
        </w:rPr>
        <w:t xml:space="preserve">, issu de l'ordonnance du 16/09/ 2020 a introduit la possibilité pour l'autorité administrative </w:t>
      </w:r>
      <w:r w:rsidR="00E95A30" w:rsidRPr="00ED2883">
        <w:rPr>
          <w:rFonts w:ascii="Arial" w:hAnsi="Arial" w:cs="Arial"/>
        </w:rPr>
        <w:t xml:space="preserve">de procéder à la démolition dans des conditions encadrées. Le texte précise que : </w:t>
      </w:r>
      <w:r w:rsidR="00E95A30" w:rsidRPr="00ED2883">
        <w:rPr>
          <w:rFonts w:ascii="Arial" w:eastAsia="Times New Roman" w:hAnsi="Arial" w:cs="Arial"/>
          <w:color w:val="3C3C3C"/>
          <w:lang w:eastAsia="fr-FR"/>
        </w:rPr>
        <w:t xml:space="preserve"> </w:t>
      </w:r>
      <w:r w:rsidR="00E95A30" w:rsidRPr="00697540">
        <w:rPr>
          <w:rFonts w:ascii="Arial" w:eastAsia="Times New Roman" w:hAnsi="Arial" w:cs="Arial"/>
          <w:i/>
          <w:color w:val="7030A0"/>
          <w:lang w:eastAsia="fr-FR"/>
        </w:rPr>
        <w:t>”Lorsqu'aucune autre mesure ne permet d'écarter le danger, l'autorité compétente peut faire procéder à la démolition complète après y avoir été autorisée par jugement du président du tribunal judiciaire statuant selon la procédure accélérée au fond."</w:t>
      </w:r>
    </w:p>
    <w:p w14:paraId="779A6515" w14:textId="5685ED9B" w:rsidR="00E95A30" w:rsidRPr="00ED2883" w:rsidRDefault="00E95A30" w:rsidP="00695149">
      <w:pPr>
        <w:spacing w:after="120" w:line="240" w:lineRule="atLeast"/>
        <w:rPr>
          <w:rFonts w:ascii="Arial" w:eastAsia="Times New Roman" w:hAnsi="Arial" w:cs="Arial"/>
          <w:lang w:eastAsia="fr-FR"/>
        </w:rPr>
      </w:pPr>
      <w:r w:rsidRPr="00ED2883">
        <w:rPr>
          <w:rFonts w:ascii="Arial" w:eastAsia="Times New Roman" w:hAnsi="Arial" w:cs="Arial"/>
          <w:lang w:eastAsia="fr-FR"/>
        </w:rPr>
        <w:t xml:space="preserve">Cette formulation </w:t>
      </w:r>
      <w:r w:rsidR="002141B2">
        <w:rPr>
          <w:rFonts w:ascii="Arial" w:eastAsia="Times New Roman" w:hAnsi="Arial" w:cs="Arial"/>
          <w:lang w:eastAsia="fr-FR"/>
        </w:rPr>
        <w:t xml:space="preserve">est ambiguë : permet-elle </w:t>
      </w:r>
      <w:r w:rsidRPr="00ED2883">
        <w:rPr>
          <w:rFonts w:ascii="Arial" w:eastAsia="Times New Roman" w:hAnsi="Arial" w:cs="Arial"/>
          <w:lang w:eastAsia="fr-FR"/>
        </w:rPr>
        <w:t xml:space="preserve">à un arrêté d'urgence de prescrire au propriétaire la démolition du bâtiment, </w:t>
      </w:r>
      <w:r w:rsidR="002141B2">
        <w:rPr>
          <w:rFonts w:ascii="Arial" w:eastAsia="Times New Roman" w:hAnsi="Arial" w:cs="Arial"/>
          <w:lang w:eastAsia="fr-FR"/>
        </w:rPr>
        <w:t xml:space="preserve">ou </w:t>
      </w:r>
      <w:r w:rsidRPr="00ED2883">
        <w:rPr>
          <w:rFonts w:ascii="Arial" w:eastAsia="Times New Roman" w:hAnsi="Arial" w:cs="Arial"/>
          <w:lang w:eastAsia="fr-FR"/>
        </w:rPr>
        <w:t xml:space="preserve">seulement au maire d'y procéder d'office </w:t>
      </w:r>
      <w:r w:rsidR="006526A4">
        <w:rPr>
          <w:rFonts w:ascii="Arial" w:eastAsia="Times New Roman" w:hAnsi="Arial" w:cs="Arial"/>
          <w:lang w:eastAsia="fr-FR"/>
        </w:rPr>
        <w:t>après</w:t>
      </w:r>
      <w:r w:rsidRPr="00ED2883">
        <w:rPr>
          <w:rFonts w:ascii="Arial" w:eastAsia="Times New Roman" w:hAnsi="Arial" w:cs="Arial"/>
          <w:lang w:eastAsia="fr-FR"/>
        </w:rPr>
        <w:t xml:space="preserve"> autorisation </w:t>
      </w:r>
      <w:r w:rsidR="00695149" w:rsidRPr="00011019">
        <w:rPr>
          <w:rFonts w:ascii="Arial" w:eastAsia="Times New Roman" w:hAnsi="Arial" w:cs="Arial"/>
          <w:lang w:eastAsia="fr-FR"/>
        </w:rPr>
        <w:t xml:space="preserve">du président du tribunal judiciaire statuant selon la procédure accélérée au </w:t>
      </w:r>
      <w:r w:rsidR="007A7166" w:rsidRPr="00011019">
        <w:rPr>
          <w:rFonts w:ascii="Arial" w:eastAsia="Times New Roman" w:hAnsi="Arial" w:cs="Arial"/>
          <w:lang w:eastAsia="fr-FR"/>
        </w:rPr>
        <w:t>fond.</w:t>
      </w:r>
      <w:r w:rsidR="007A7166">
        <w:rPr>
          <w:rFonts w:ascii="Arial" w:eastAsia="Times New Roman" w:hAnsi="Arial" w:cs="Arial"/>
          <w:lang w:eastAsia="fr-FR"/>
        </w:rPr>
        <w:t xml:space="preserve"> (</w:t>
      </w:r>
      <w:proofErr w:type="gramStart"/>
      <w:r w:rsidR="00695149">
        <w:rPr>
          <w:rFonts w:ascii="Arial" w:eastAsia="Times New Roman" w:hAnsi="Arial" w:cs="Arial"/>
          <w:lang w:eastAsia="fr-FR"/>
        </w:rPr>
        <w:t>ex</w:t>
      </w:r>
      <w:proofErr w:type="gramEnd"/>
      <w:r w:rsidR="00695149">
        <w:rPr>
          <w:rFonts w:ascii="Arial" w:eastAsia="Times New Roman" w:hAnsi="Arial" w:cs="Arial"/>
          <w:lang w:eastAsia="fr-FR"/>
        </w:rPr>
        <w:t xml:space="preserve"> référé au fond) </w:t>
      </w:r>
      <w:r w:rsidRPr="00ED2883">
        <w:rPr>
          <w:rFonts w:ascii="Arial" w:eastAsia="Times New Roman" w:hAnsi="Arial" w:cs="Arial"/>
          <w:lang w:eastAsia="fr-FR"/>
        </w:rPr>
        <w:t>et justifications techniques apportées à celui-ci</w:t>
      </w:r>
      <w:r w:rsidR="002141B2">
        <w:rPr>
          <w:rFonts w:ascii="Arial" w:eastAsia="Times New Roman" w:hAnsi="Arial" w:cs="Arial"/>
          <w:lang w:eastAsia="fr-FR"/>
        </w:rPr>
        <w:t> ? La question n’est pas tranchée…</w:t>
      </w:r>
    </w:p>
    <w:p w14:paraId="7924CF8F" w14:textId="77777777" w:rsidR="00E835E7" w:rsidRPr="00ED2883" w:rsidRDefault="00E835E7" w:rsidP="005863FA">
      <w:pPr>
        <w:spacing w:after="120" w:line="240" w:lineRule="auto"/>
        <w:rPr>
          <w:rFonts w:ascii="Arial" w:hAnsi="Arial" w:cs="Arial"/>
        </w:rPr>
      </w:pPr>
    </w:p>
    <w:p w14:paraId="143BA7C0" w14:textId="77777777" w:rsidR="00F121C9" w:rsidRPr="00697540" w:rsidRDefault="00F121C9" w:rsidP="00437A05">
      <w:pPr>
        <w:pStyle w:val="Paragraphedeliste"/>
        <w:numPr>
          <w:ilvl w:val="0"/>
          <w:numId w:val="4"/>
        </w:numPr>
        <w:spacing w:after="120" w:line="240" w:lineRule="auto"/>
        <w:ind w:left="284" w:hanging="284"/>
        <w:rPr>
          <w:rFonts w:ascii="Arial" w:hAnsi="Arial" w:cs="Arial"/>
          <w:b/>
          <w:sz w:val="24"/>
          <w:szCs w:val="24"/>
          <w:u w:val="single"/>
        </w:rPr>
      </w:pPr>
      <w:r w:rsidRPr="00697540">
        <w:rPr>
          <w:rFonts w:ascii="Arial" w:hAnsi="Arial" w:cs="Arial"/>
          <w:b/>
          <w:sz w:val="24"/>
          <w:szCs w:val="24"/>
          <w:u w:val="single"/>
        </w:rPr>
        <w:t xml:space="preserve">Intervention de l'ABF dans les travaux d'exécution des arrêtés d'insalubrité ou d'insécurité/péril  </w:t>
      </w:r>
    </w:p>
    <w:p w14:paraId="4F9F1B89" w14:textId="77777777" w:rsidR="005863FA" w:rsidRPr="00ED2883" w:rsidRDefault="005863FA" w:rsidP="005863FA">
      <w:pPr>
        <w:spacing w:after="120" w:line="240" w:lineRule="auto"/>
        <w:rPr>
          <w:rFonts w:ascii="Arial" w:hAnsi="Arial" w:cs="Arial"/>
          <w:u w:val="single"/>
        </w:rPr>
      </w:pPr>
    </w:p>
    <w:p w14:paraId="25F025BF" w14:textId="77777777" w:rsidR="00F121C9" w:rsidRPr="00BC096B" w:rsidRDefault="00F121C9" w:rsidP="00697540">
      <w:pPr>
        <w:spacing w:after="120" w:line="240" w:lineRule="auto"/>
        <w:ind w:firstLine="284"/>
        <w:rPr>
          <w:rFonts w:ascii="Arial" w:hAnsi="Arial" w:cs="Arial"/>
          <w:b/>
          <w:bCs/>
          <w:u w:val="single"/>
        </w:rPr>
      </w:pPr>
      <w:r w:rsidRPr="00BC096B">
        <w:rPr>
          <w:rFonts w:ascii="Arial" w:hAnsi="Arial" w:cs="Arial"/>
          <w:b/>
          <w:bCs/>
          <w:u w:val="single"/>
        </w:rPr>
        <w:t>II-1. Cas des arrêtés ayant prescrit la démolition</w:t>
      </w:r>
    </w:p>
    <w:p w14:paraId="184D7A78" w14:textId="4A5F1F21" w:rsidR="000F5A83" w:rsidRDefault="00611BA5" w:rsidP="005863FA">
      <w:pPr>
        <w:spacing w:after="120" w:line="240" w:lineRule="auto"/>
        <w:rPr>
          <w:rFonts w:ascii="Arial" w:hAnsi="Arial" w:cs="Arial"/>
        </w:rPr>
      </w:pPr>
      <w:r w:rsidRPr="00ED2883">
        <w:rPr>
          <w:rFonts w:ascii="Arial" w:hAnsi="Arial" w:cs="Arial"/>
        </w:rPr>
        <w:t xml:space="preserve">Comme précisé plus haut, lorsqu'un arrêté a prescrit la démolition d'un bâtiment, le propriétaire n'a pas à demander de permis de démolir, en application </w:t>
      </w:r>
      <w:r w:rsidRPr="00697540">
        <w:rPr>
          <w:rFonts w:ascii="Arial" w:hAnsi="Arial" w:cs="Arial"/>
          <w:b/>
          <w:bCs/>
          <w:color w:val="7030A0"/>
        </w:rPr>
        <w:t>du b) du L421-29 du code de l'urbanisme</w:t>
      </w:r>
      <w:r w:rsidRPr="00ED2883">
        <w:rPr>
          <w:rFonts w:ascii="Arial" w:hAnsi="Arial" w:cs="Arial"/>
        </w:rPr>
        <w:t xml:space="preserve">. </w:t>
      </w:r>
      <w:r w:rsidR="000F5A83">
        <w:rPr>
          <w:rFonts w:ascii="Arial" w:hAnsi="Arial" w:cs="Arial"/>
        </w:rPr>
        <w:t xml:space="preserve">Cet article dispose que : </w:t>
      </w:r>
    </w:p>
    <w:p w14:paraId="18D1B919" w14:textId="63F0DCD8" w:rsidR="000F5A83" w:rsidRPr="00697540" w:rsidRDefault="000F5A83" w:rsidP="000F5A83">
      <w:pPr>
        <w:spacing w:after="0" w:line="240" w:lineRule="auto"/>
        <w:rPr>
          <w:rFonts w:ascii="Arial" w:eastAsia="Times New Roman" w:hAnsi="Arial" w:cs="Arial"/>
          <w:i/>
          <w:iCs/>
          <w:color w:val="7030A0"/>
          <w:sz w:val="24"/>
          <w:szCs w:val="24"/>
          <w:lang w:eastAsia="fr-FR"/>
        </w:rPr>
      </w:pPr>
      <w:r w:rsidRPr="00697540">
        <w:rPr>
          <w:rFonts w:ascii="Arial" w:eastAsia="Times New Roman" w:hAnsi="Arial" w:cs="Arial"/>
          <w:i/>
          <w:iCs/>
          <w:color w:val="7030A0"/>
          <w:sz w:val="24"/>
          <w:szCs w:val="24"/>
          <w:lang w:eastAsia="fr-FR"/>
        </w:rPr>
        <w:t>« Sont dispensées de permis de démolir :</w:t>
      </w:r>
    </w:p>
    <w:p w14:paraId="3D29A963" w14:textId="32272438" w:rsidR="000F5A83" w:rsidRPr="00697540" w:rsidRDefault="000F5A83" w:rsidP="000F5A83">
      <w:pPr>
        <w:spacing w:after="0" w:line="240" w:lineRule="auto"/>
        <w:rPr>
          <w:rFonts w:ascii="Arial" w:eastAsia="Times New Roman" w:hAnsi="Arial" w:cs="Arial"/>
          <w:i/>
          <w:iCs/>
          <w:color w:val="7030A0"/>
          <w:sz w:val="24"/>
          <w:szCs w:val="24"/>
          <w:lang w:eastAsia="fr-FR"/>
        </w:rPr>
      </w:pPr>
      <w:r w:rsidRPr="00697540">
        <w:rPr>
          <w:rFonts w:ascii="Arial" w:eastAsia="Times New Roman" w:hAnsi="Arial" w:cs="Arial"/>
          <w:i/>
          <w:iCs/>
          <w:color w:val="7030A0"/>
          <w:sz w:val="24"/>
          <w:szCs w:val="24"/>
          <w:lang w:eastAsia="fr-FR"/>
        </w:rPr>
        <w:t xml:space="preserve">b) Les démolitions effectuées en application du </w:t>
      </w:r>
      <w:hyperlink r:id="rId8" w:history="1">
        <w:r w:rsidRPr="00697540">
          <w:rPr>
            <w:rFonts w:ascii="Arial" w:eastAsia="Times New Roman" w:hAnsi="Arial" w:cs="Arial"/>
            <w:i/>
            <w:iCs/>
            <w:color w:val="7030A0"/>
            <w:sz w:val="24"/>
            <w:szCs w:val="24"/>
            <w:lang w:eastAsia="fr-FR"/>
          </w:rPr>
          <w:t>code de la construction et de l'habitation</w:t>
        </w:r>
      </w:hyperlink>
      <w:r w:rsidRPr="00697540">
        <w:rPr>
          <w:rFonts w:ascii="Arial" w:eastAsia="Times New Roman" w:hAnsi="Arial" w:cs="Arial"/>
          <w:i/>
          <w:iCs/>
          <w:color w:val="7030A0"/>
          <w:sz w:val="24"/>
          <w:szCs w:val="24"/>
          <w:lang w:eastAsia="fr-FR"/>
        </w:rPr>
        <w:t xml:space="preserve"> sur un bâtiment menaçant ruine ou en application du </w:t>
      </w:r>
      <w:hyperlink r:id="rId9" w:history="1">
        <w:r w:rsidRPr="00697540">
          <w:rPr>
            <w:rFonts w:ascii="Arial" w:eastAsia="Times New Roman" w:hAnsi="Arial" w:cs="Arial"/>
            <w:i/>
            <w:iCs/>
            <w:color w:val="7030A0"/>
            <w:sz w:val="24"/>
            <w:szCs w:val="24"/>
            <w:lang w:eastAsia="fr-FR"/>
          </w:rPr>
          <w:t>code de la santé publique</w:t>
        </w:r>
      </w:hyperlink>
      <w:r w:rsidRPr="00697540">
        <w:rPr>
          <w:rFonts w:ascii="Arial" w:eastAsia="Times New Roman" w:hAnsi="Arial" w:cs="Arial"/>
          <w:i/>
          <w:iCs/>
          <w:color w:val="7030A0"/>
          <w:sz w:val="24"/>
          <w:szCs w:val="24"/>
          <w:lang w:eastAsia="fr-FR"/>
        </w:rPr>
        <w:t xml:space="preserve"> sur un immeuble insalubre ; »</w:t>
      </w:r>
    </w:p>
    <w:p w14:paraId="4BBE9D63" w14:textId="77777777" w:rsidR="000F5A83" w:rsidRDefault="000F5A83" w:rsidP="005863FA">
      <w:pPr>
        <w:spacing w:after="120" w:line="240" w:lineRule="auto"/>
        <w:rPr>
          <w:rFonts w:ascii="Arial" w:hAnsi="Arial" w:cs="Arial"/>
        </w:rPr>
      </w:pPr>
    </w:p>
    <w:p w14:paraId="08E4D51A" w14:textId="2D771071" w:rsidR="00611BA5" w:rsidRPr="00ED2883" w:rsidRDefault="00611BA5" w:rsidP="005863FA">
      <w:pPr>
        <w:spacing w:after="120" w:line="240" w:lineRule="auto"/>
        <w:rPr>
          <w:rFonts w:ascii="Arial" w:hAnsi="Arial" w:cs="Arial"/>
        </w:rPr>
      </w:pPr>
      <w:r w:rsidRPr="00ED2883">
        <w:rPr>
          <w:rFonts w:ascii="Arial" w:hAnsi="Arial" w:cs="Arial"/>
        </w:rPr>
        <w:t xml:space="preserve">En effet, il serait contradictoire d'imposer à un propriétaire de démolir son immeuble et de lui demander parallèlement de déposer un permis de démolir. Cette disposition vaut tout autant pour les propriétaires publics que privés. </w:t>
      </w:r>
    </w:p>
    <w:p w14:paraId="4DCFE936" w14:textId="37169C9C" w:rsidR="00611BA5" w:rsidRPr="007C290A" w:rsidRDefault="00611BA5" w:rsidP="005863FA">
      <w:pPr>
        <w:spacing w:after="120" w:line="240" w:lineRule="auto"/>
        <w:rPr>
          <w:rFonts w:ascii="Arial" w:hAnsi="Arial" w:cs="Arial"/>
          <w:iCs/>
        </w:rPr>
      </w:pPr>
      <w:r w:rsidRPr="00ED2883">
        <w:rPr>
          <w:rFonts w:ascii="Arial" w:hAnsi="Arial" w:cs="Arial"/>
        </w:rPr>
        <w:t>La démolition est donc effectuée par le propriétaire ou en cas de défaillance de celui-ci d'office par l'autorité administrative compétente après a</w:t>
      </w:r>
      <w:r w:rsidR="005863FA" w:rsidRPr="00ED2883">
        <w:rPr>
          <w:rFonts w:ascii="Arial" w:hAnsi="Arial" w:cs="Arial"/>
        </w:rPr>
        <w:t xml:space="preserve">utorisation du juge </w:t>
      </w:r>
      <w:r w:rsidR="007C290A" w:rsidRPr="007C290A">
        <w:rPr>
          <w:rFonts w:ascii="Arial" w:eastAsia="Times New Roman" w:hAnsi="Arial" w:cs="Arial"/>
          <w:iCs/>
          <w:color w:val="3C3C3C"/>
          <w:lang w:eastAsia="fr-FR"/>
        </w:rPr>
        <w:t>judiciaire statuant selon la procédure accélérée au fond.</w:t>
      </w:r>
    </w:p>
    <w:p w14:paraId="3C32A13F" w14:textId="77777777" w:rsidR="00611BA5" w:rsidRPr="007C290A" w:rsidRDefault="00611BA5" w:rsidP="005863FA">
      <w:pPr>
        <w:spacing w:after="120" w:line="240" w:lineRule="auto"/>
        <w:rPr>
          <w:rFonts w:ascii="Arial" w:hAnsi="Arial" w:cs="Arial"/>
          <w:i/>
          <w:iCs/>
        </w:rPr>
      </w:pPr>
      <w:r w:rsidRPr="007C290A">
        <w:rPr>
          <w:rFonts w:ascii="Arial" w:hAnsi="Arial" w:cs="Arial"/>
          <w:i/>
          <w:iCs/>
        </w:rPr>
        <w:t>En conséquence l'ABF n'est pas saisi à ce stade puisqu'il n'y a pas d'instruction de permis de démolir.</w:t>
      </w:r>
    </w:p>
    <w:p w14:paraId="04879FFF" w14:textId="77777777" w:rsidR="00F121C9" w:rsidRPr="000F5A83" w:rsidRDefault="00F121C9" w:rsidP="00697540">
      <w:pPr>
        <w:spacing w:after="120" w:line="240" w:lineRule="auto"/>
        <w:ind w:firstLine="284"/>
        <w:rPr>
          <w:rFonts w:ascii="Arial" w:hAnsi="Arial" w:cs="Arial"/>
          <w:b/>
          <w:bCs/>
          <w:u w:val="single"/>
        </w:rPr>
      </w:pPr>
      <w:r w:rsidRPr="000F5A83">
        <w:rPr>
          <w:rFonts w:ascii="Arial" w:hAnsi="Arial" w:cs="Arial"/>
          <w:b/>
          <w:bCs/>
          <w:u w:val="single"/>
        </w:rPr>
        <w:t xml:space="preserve">II-2. Cas des arrêtés ayant interdit définitivement à l'habitation ou à tout usage sans avoir prescrit la démolition </w:t>
      </w:r>
    </w:p>
    <w:p w14:paraId="6211B128" w14:textId="47F17B6A" w:rsidR="005863FA" w:rsidRPr="00ED2883" w:rsidRDefault="00611BA5" w:rsidP="005863FA">
      <w:pPr>
        <w:spacing w:after="120" w:line="240" w:lineRule="auto"/>
        <w:rPr>
          <w:rFonts w:ascii="Arial" w:hAnsi="Arial" w:cs="Arial"/>
        </w:rPr>
      </w:pPr>
      <w:r w:rsidRPr="00ED2883">
        <w:rPr>
          <w:rFonts w:ascii="Arial" w:hAnsi="Arial" w:cs="Arial"/>
        </w:rPr>
        <w:t>Différent du cas de figure précédent, celui o</w:t>
      </w:r>
      <w:r w:rsidR="00D013AE">
        <w:rPr>
          <w:rFonts w:ascii="Arial" w:hAnsi="Arial" w:cs="Arial"/>
        </w:rPr>
        <w:t>ù</w:t>
      </w:r>
      <w:r w:rsidRPr="00ED2883">
        <w:rPr>
          <w:rFonts w:ascii="Arial" w:hAnsi="Arial" w:cs="Arial"/>
        </w:rPr>
        <w:t xml:space="preserve"> l'arrêté d'insalubrité, notamment, ou l'arrêté d'insécurité/péril a simplement prescrit </w:t>
      </w:r>
      <w:r w:rsidRPr="00697540">
        <w:rPr>
          <w:rFonts w:ascii="Arial" w:hAnsi="Arial" w:cs="Arial"/>
          <w:b/>
          <w:bCs/>
          <w:i/>
          <w:iCs/>
        </w:rPr>
        <w:t>une interdiction définitive d'habiter ou d'utiliser les lieux.</w:t>
      </w:r>
      <w:r w:rsidRPr="00ED2883">
        <w:rPr>
          <w:rFonts w:ascii="Arial" w:hAnsi="Arial" w:cs="Arial"/>
        </w:rPr>
        <w:t xml:space="preserve"> </w:t>
      </w:r>
      <w:r w:rsidR="000F5A83">
        <w:rPr>
          <w:rFonts w:ascii="Arial" w:hAnsi="Arial" w:cs="Arial"/>
        </w:rPr>
        <w:t xml:space="preserve">Cet </w:t>
      </w:r>
      <w:r w:rsidR="00697540">
        <w:rPr>
          <w:rFonts w:ascii="Arial" w:hAnsi="Arial" w:cs="Arial"/>
        </w:rPr>
        <w:t>arrêté</w:t>
      </w:r>
      <w:r w:rsidR="000F5A83">
        <w:rPr>
          <w:rFonts w:ascii="Arial" w:hAnsi="Arial" w:cs="Arial"/>
        </w:rPr>
        <w:t xml:space="preserve"> ne pose pas de difficulté à l’ABF puisqu’il n’y a pas de prescription de </w:t>
      </w:r>
      <w:r w:rsidR="008F038F">
        <w:rPr>
          <w:rFonts w:ascii="Arial" w:hAnsi="Arial" w:cs="Arial"/>
        </w:rPr>
        <w:t>travaux</w:t>
      </w:r>
      <w:r w:rsidR="000F5A83">
        <w:rPr>
          <w:rFonts w:ascii="Arial" w:hAnsi="Arial" w:cs="Arial"/>
        </w:rPr>
        <w:t>.</w:t>
      </w:r>
    </w:p>
    <w:p w14:paraId="429B7055" w14:textId="39D77FD5" w:rsidR="008F038F" w:rsidRDefault="00611BA5" w:rsidP="005863FA">
      <w:pPr>
        <w:spacing w:after="120" w:line="240" w:lineRule="auto"/>
        <w:rPr>
          <w:rFonts w:ascii="Arial" w:hAnsi="Arial" w:cs="Arial"/>
        </w:rPr>
      </w:pPr>
      <w:r w:rsidRPr="00ED2883">
        <w:rPr>
          <w:rFonts w:ascii="Arial" w:hAnsi="Arial" w:cs="Arial"/>
        </w:rPr>
        <w:t xml:space="preserve">Ces situations permettent </w:t>
      </w:r>
      <w:r w:rsidR="00F75589">
        <w:rPr>
          <w:rFonts w:ascii="Arial" w:hAnsi="Arial" w:cs="Arial"/>
        </w:rPr>
        <w:t xml:space="preserve">parfaitement </w:t>
      </w:r>
      <w:r w:rsidRPr="00ED2883">
        <w:rPr>
          <w:rFonts w:ascii="Arial" w:hAnsi="Arial" w:cs="Arial"/>
        </w:rPr>
        <w:t xml:space="preserve">au propriétaire </w:t>
      </w:r>
      <w:r w:rsidR="00F75589">
        <w:rPr>
          <w:rFonts w:ascii="Arial" w:hAnsi="Arial" w:cs="Arial"/>
        </w:rPr>
        <w:t xml:space="preserve">- </w:t>
      </w:r>
      <w:r w:rsidRPr="00ED2883">
        <w:rPr>
          <w:rFonts w:ascii="Arial" w:hAnsi="Arial" w:cs="Arial"/>
        </w:rPr>
        <w:t>ou à des acquéreurs</w:t>
      </w:r>
      <w:r w:rsidR="00F75589">
        <w:rPr>
          <w:rFonts w:ascii="Arial" w:hAnsi="Arial" w:cs="Arial"/>
        </w:rPr>
        <w:t>-</w:t>
      </w:r>
      <w:r w:rsidRPr="00ED2883">
        <w:rPr>
          <w:rFonts w:ascii="Arial" w:hAnsi="Arial" w:cs="Arial"/>
        </w:rPr>
        <w:t xml:space="preserve"> de réhabiliter l'immeuble.</w:t>
      </w:r>
      <w:r w:rsidR="00F87BC9" w:rsidRPr="00ED2883">
        <w:rPr>
          <w:rFonts w:ascii="Arial" w:hAnsi="Arial" w:cs="Arial"/>
        </w:rPr>
        <w:t xml:space="preserve"> </w:t>
      </w:r>
      <w:r w:rsidR="008F038F">
        <w:rPr>
          <w:rFonts w:ascii="Arial" w:hAnsi="Arial" w:cs="Arial"/>
        </w:rPr>
        <w:t xml:space="preserve">Selon la nature des travaux de réhabilitation effectués par le propriétaire, une déclaration préalable ou un permis de construire peuvent etre nécessaires : ils sont instruits en droit commun et soumis à l’avis conforme de l’ABF. </w:t>
      </w:r>
    </w:p>
    <w:p w14:paraId="5BC63C39" w14:textId="1618705D" w:rsidR="005863FA" w:rsidRPr="00ED2883" w:rsidRDefault="00F87BC9" w:rsidP="005863FA">
      <w:pPr>
        <w:spacing w:after="120" w:line="240" w:lineRule="auto"/>
        <w:rPr>
          <w:rFonts w:ascii="Arial" w:hAnsi="Arial" w:cs="Arial"/>
        </w:rPr>
      </w:pPr>
      <w:r w:rsidRPr="00ED2883">
        <w:rPr>
          <w:rFonts w:ascii="Arial" w:hAnsi="Arial" w:cs="Arial"/>
        </w:rPr>
        <w:lastRenderedPageBreak/>
        <w:t xml:space="preserve">Mais s'ils veulent démolir, </w:t>
      </w:r>
      <w:r w:rsidRPr="00D013AE">
        <w:rPr>
          <w:rFonts w:ascii="Arial" w:hAnsi="Arial" w:cs="Arial"/>
          <w:b/>
          <w:bCs/>
          <w:i/>
          <w:iCs/>
        </w:rPr>
        <w:t>ils doivent demander un permis de démolir</w:t>
      </w:r>
      <w:r w:rsidRPr="00ED2883">
        <w:rPr>
          <w:rFonts w:ascii="Arial" w:hAnsi="Arial" w:cs="Arial"/>
        </w:rPr>
        <w:t xml:space="preserve">. </w:t>
      </w:r>
      <w:r w:rsidR="000F5A83">
        <w:rPr>
          <w:rFonts w:ascii="Arial" w:hAnsi="Arial" w:cs="Arial"/>
        </w:rPr>
        <w:t xml:space="preserve">En effet, l’art L421-29 du CU, rappelé plus haut, ne vise que les démolitions prévues </w:t>
      </w:r>
      <w:r w:rsidR="000F5A83" w:rsidRPr="000F5A83">
        <w:rPr>
          <w:rFonts w:ascii="Arial" w:hAnsi="Arial" w:cs="Arial"/>
          <w:i/>
          <w:iCs/>
        </w:rPr>
        <w:t>en application</w:t>
      </w:r>
      <w:r w:rsidR="000F5A83">
        <w:rPr>
          <w:rFonts w:ascii="Arial" w:hAnsi="Arial" w:cs="Arial"/>
        </w:rPr>
        <w:t xml:space="preserve"> d’un arrêté, pas celles qui ne sont pas prévues… </w:t>
      </w:r>
    </w:p>
    <w:p w14:paraId="5F0137BD" w14:textId="50D2E8DA" w:rsidR="005863FA" w:rsidRPr="00ED2883" w:rsidRDefault="005863FA" w:rsidP="005863FA">
      <w:pPr>
        <w:spacing w:after="120" w:line="240" w:lineRule="auto"/>
        <w:rPr>
          <w:rFonts w:ascii="Arial" w:hAnsi="Arial" w:cs="Arial"/>
        </w:rPr>
      </w:pPr>
      <w:r w:rsidRPr="00ED2883">
        <w:rPr>
          <w:rFonts w:ascii="Arial" w:hAnsi="Arial" w:cs="Arial"/>
        </w:rPr>
        <w:t xml:space="preserve">Quel est le régime juridique de ce permis de démolir ? Quelle est la portée du nouvel article </w:t>
      </w:r>
      <w:r w:rsidRPr="00697540">
        <w:rPr>
          <w:rFonts w:ascii="Arial" w:hAnsi="Arial" w:cs="Arial"/>
          <w:b/>
          <w:bCs/>
          <w:color w:val="7030A0"/>
        </w:rPr>
        <w:t>L632-2-1 du code du patrimoine</w:t>
      </w:r>
      <w:r w:rsidR="0032082F" w:rsidRPr="00ED2883">
        <w:rPr>
          <w:rStyle w:val="Appelnotedebasdep"/>
          <w:rFonts w:ascii="Arial" w:hAnsi="Arial" w:cs="Arial"/>
        </w:rPr>
        <w:footnoteReference w:id="6"/>
      </w:r>
      <w:r w:rsidRPr="00ED2883">
        <w:rPr>
          <w:rFonts w:ascii="Arial" w:hAnsi="Arial" w:cs="Arial"/>
        </w:rPr>
        <w:t xml:space="preserve"> </w:t>
      </w:r>
      <w:r w:rsidR="008F038F" w:rsidRPr="008F038F">
        <w:rPr>
          <w:rFonts w:ascii="Arial" w:hAnsi="Arial" w:cs="Arial"/>
          <w:color w:val="7030A0"/>
        </w:rPr>
        <w:t>dans son 3°</w:t>
      </w:r>
      <w:r w:rsidR="008F038F">
        <w:rPr>
          <w:rFonts w:ascii="Arial" w:hAnsi="Arial" w:cs="Arial"/>
        </w:rPr>
        <w:t xml:space="preserve"> </w:t>
      </w:r>
      <w:r w:rsidRPr="00ED2883">
        <w:rPr>
          <w:rFonts w:ascii="Arial" w:hAnsi="Arial" w:cs="Arial"/>
        </w:rPr>
        <w:t xml:space="preserve">issu de la loi ELAN de 2018 </w:t>
      </w:r>
      <w:r w:rsidR="00D122D8" w:rsidRPr="00ED2883">
        <w:rPr>
          <w:rFonts w:ascii="Arial" w:hAnsi="Arial" w:cs="Arial"/>
        </w:rPr>
        <w:t xml:space="preserve">modifié </w:t>
      </w:r>
      <w:r w:rsidRPr="00ED2883">
        <w:rPr>
          <w:rFonts w:ascii="Arial" w:hAnsi="Arial" w:cs="Arial"/>
        </w:rPr>
        <w:t>par l'ordonnance du 16/09/2020</w:t>
      </w:r>
      <w:r w:rsidR="009605C1" w:rsidRPr="00ED2883">
        <w:rPr>
          <w:rFonts w:ascii="Arial" w:hAnsi="Arial" w:cs="Arial"/>
        </w:rPr>
        <w:t xml:space="preserve"> ? </w:t>
      </w:r>
      <w:r w:rsidR="00F75589">
        <w:rPr>
          <w:rFonts w:ascii="Arial" w:hAnsi="Arial" w:cs="Arial"/>
        </w:rPr>
        <w:t>Celui-ci</w:t>
      </w:r>
      <w:r w:rsidR="00D122D8" w:rsidRPr="00ED2883">
        <w:rPr>
          <w:rFonts w:ascii="Arial" w:hAnsi="Arial" w:cs="Arial"/>
        </w:rPr>
        <w:t xml:space="preserve"> </w:t>
      </w:r>
      <w:r w:rsidRPr="00ED2883">
        <w:rPr>
          <w:rFonts w:ascii="Arial" w:hAnsi="Arial" w:cs="Arial"/>
        </w:rPr>
        <w:t>dispose que</w:t>
      </w:r>
      <w:r w:rsidR="009605C1" w:rsidRPr="00ED2883">
        <w:rPr>
          <w:rFonts w:ascii="Arial" w:hAnsi="Arial" w:cs="Arial"/>
        </w:rPr>
        <w:t xml:space="preserve"> </w:t>
      </w:r>
      <w:r w:rsidRPr="00ED2883">
        <w:rPr>
          <w:rFonts w:ascii="Arial" w:hAnsi="Arial" w:cs="Arial"/>
        </w:rPr>
        <w:t xml:space="preserve">: </w:t>
      </w:r>
    </w:p>
    <w:p w14:paraId="6B3E42EC" w14:textId="7FF736AE" w:rsidR="000F5A83" w:rsidRPr="00697540" w:rsidRDefault="005863FA" w:rsidP="005863FA">
      <w:pPr>
        <w:spacing w:after="120" w:line="240" w:lineRule="auto"/>
        <w:rPr>
          <w:rFonts w:ascii="Arial" w:eastAsia="Times New Roman" w:hAnsi="Arial" w:cs="Arial"/>
          <w:i/>
          <w:color w:val="7030A0"/>
          <w:lang w:eastAsia="fr-FR"/>
        </w:rPr>
      </w:pPr>
      <w:r w:rsidRPr="00ED2883">
        <w:rPr>
          <w:rFonts w:ascii="Arial" w:hAnsi="Arial" w:cs="Arial"/>
        </w:rPr>
        <w:t xml:space="preserve"> </w:t>
      </w:r>
      <w:r w:rsidR="00F87BC9" w:rsidRPr="00697540">
        <w:rPr>
          <w:rFonts w:ascii="Arial" w:hAnsi="Arial" w:cs="Arial"/>
          <w:i/>
          <w:color w:val="7030A0"/>
        </w:rPr>
        <w:t>”</w:t>
      </w:r>
      <w:r w:rsidR="00F87BC9" w:rsidRPr="00697540">
        <w:rPr>
          <w:rFonts w:ascii="Arial" w:eastAsia="Times New Roman" w:hAnsi="Arial" w:cs="Arial"/>
          <w:i/>
          <w:color w:val="7030A0"/>
          <w:lang w:eastAsia="fr-FR"/>
        </w:rPr>
        <w:t xml:space="preserve"> Par exception au I de l'article L.632-2, l'autorisation prévue à l'article L.632-1 est soumise </w:t>
      </w:r>
      <w:r w:rsidR="00F87BC9" w:rsidRPr="00697540">
        <w:rPr>
          <w:rFonts w:ascii="Arial" w:eastAsia="Times New Roman" w:hAnsi="Arial" w:cs="Arial"/>
          <w:i/>
          <w:color w:val="7030A0"/>
          <w:u w:val="single"/>
          <w:lang w:eastAsia="fr-FR"/>
        </w:rPr>
        <w:t>à l'avis</w:t>
      </w:r>
      <w:r w:rsidR="00F87BC9" w:rsidRPr="00697540">
        <w:rPr>
          <w:rFonts w:ascii="Arial" w:eastAsia="Times New Roman" w:hAnsi="Arial" w:cs="Arial"/>
          <w:i/>
          <w:color w:val="7030A0"/>
          <w:lang w:eastAsia="fr-FR"/>
        </w:rPr>
        <w:t xml:space="preserve"> de l'architecte des Bâtiments de France lorsqu'elle porte sur :</w:t>
      </w:r>
    </w:p>
    <w:p w14:paraId="4CC4301E" w14:textId="4E9A57A3" w:rsidR="00F87BC9" w:rsidRPr="00697540" w:rsidRDefault="00F87BC9" w:rsidP="005863FA">
      <w:pPr>
        <w:spacing w:after="120" w:line="240" w:lineRule="auto"/>
        <w:rPr>
          <w:rFonts w:ascii="Arial" w:eastAsia="Times New Roman" w:hAnsi="Arial" w:cs="Arial"/>
          <w:i/>
          <w:color w:val="7030A0"/>
          <w:lang w:eastAsia="fr-FR"/>
        </w:rPr>
      </w:pPr>
      <w:r w:rsidRPr="00697540">
        <w:rPr>
          <w:rFonts w:ascii="Arial" w:eastAsia="Times New Roman" w:hAnsi="Arial" w:cs="Arial"/>
          <w:i/>
          <w:color w:val="7030A0"/>
          <w:lang w:eastAsia="fr-FR"/>
        </w:rPr>
        <w:t>3° Pour des mesures prescrites par un arrêté de mise en sécurité ou de traitement de l'insalubrité pris en application de l'article L.511-11 du code de la construction et de l'habitation portant sur des immeubles à usage d'habitation et ayant prescrit la démolition ou l'interdiction définitive d'habiter."</w:t>
      </w:r>
    </w:p>
    <w:p w14:paraId="2AE8D791" w14:textId="77777777" w:rsidR="00D722B7" w:rsidRDefault="009605C1" w:rsidP="005863FA">
      <w:pPr>
        <w:spacing w:after="120" w:line="240" w:lineRule="auto"/>
        <w:rPr>
          <w:rFonts w:ascii="Arial" w:hAnsi="Arial" w:cs="Arial"/>
        </w:rPr>
      </w:pPr>
      <w:r w:rsidRPr="00ED2883">
        <w:rPr>
          <w:rFonts w:ascii="Arial" w:hAnsi="Arial" w:cs="Arial"/>
        </w:rPr>
        <w:t>C</w:t>
      </w:r>
      <w:r w:rsidR="00F87BC9" w:rsidRPr="00ED2883">
        <w:rPr>
          <w:rFonts w:ascii="Arial" w:hAnsi="Arial" w:cs="Arial"/>
        </w:rPr>
        <w:t>et article est assez mal écrit, tant en français que sur le fond</w:t>
      </w:r>
      <w:r w:rsidR="003B5D6A">
        <w:rPr>
          <w:rFonts w:ascii="Arial" w:hAnsi="Arial" w:cs="Arial"/>
        </w:rPr>
        <w:t xml:space="preserve">, </w:t>
      </w:r>
      <w:r w:rsidRPr="00ED2883">
        <w:rPr>
          <w:rFonts w:ascii="Arial" w:hAnsi="Arial" w:cs="Arial"/>
        </w:rPr>
        <w:t>et n'apporte rien de neuf en la matière, ni ne restreint la portée de l'avis de l'ABF, par rapport au droit existant</w:t>
      </w:r>
      <w:r w:rsidR="00F87BC9" w:rsidRPr="00ED2883">
        <w:rPr>
          <w:rFonts w:ascii="Arial" w:hAnsi="Arial" w:cs="Arial"/>
        </w:rPr>
        <w:t xml:space="preserve">. </w:t>
      </w:r>
    </w:p>
    <w:p w14:paraId="1D76BC4D" w14:textId="6465CFFE" w:rsidR="009605C1" w:rsidRPr="00437A05" w:rsidRDefault="00D722B7" w:rsidP="005863FA">
      <w:pPr>
        <w:spacing w:after="120" w:line="240" w:lineRule="auto"/>
        <w:rPr>
          <w:rFonts w:ascii="Arial" w:hAnsi="Arial" w:cs="Arial"/>
          <w:b/>
          <w:bCs/>
          <w:i/>
          <w:iCs/>
        </w:rPr>
      </w:pPr>
      <w:r>
        <w:rPr>
          <w:rFonts w:ascii="Arial" w:hAnsi="Arial" w:cs="Arial"/>
        </w:rPr>
        <w:t xml:space="preserve">Il n’y a, en effet, que des « mesures » – de sécurité, par exemple- qui peuvent etre prescrites par l’arrêté, mais </w:t>
      </w:r>
      <w:r w:rsidRPr="00D722B7">
        <w:rPr>
          <w:rFonts w:ascii="Arial" w:hAnsi="Arial" w:cs="Arial"/>
          <w:b/>
          <w:bCs/>
        </w:rPr>
        <w:t>jamais de travaux</w:t>
      </w:r>
      <w:r>
        <w:rPr>
          <w:rFonts w:ascii="Arial" w:hAnsi="Arial" w:cs="Arial"/>
        </w:rPr>
        <w:t xml:space="preserve">.  </w:t>
      </w:r>
      <w:r w:rsidRPr="00D722B7">
        <w:rPr>
          <w:rFonts w:ascii="Arial" w:hAnsi="Arial" w:cs="Arial"/>
          <w:i/>
          <w:iCs/>
        </w:rPr>
        <w:t>De plus</w:t>
      </w:r>
      <w:r>
        <w:rPr>
          <w:rFonts w:ascii="Arial" w:hAnsi="Arial" w:cs="Arial"/>
        </w:rPr>
        <w:t xml:space="preserve">, </w:t>
      </w:r>
      <w:r w:rsidR="00437A05" w:rsidRPr="00437A05">
        <w:rPr>
          <w:rFonts w:ascii="Arial" w:hAnsi="Arial" w:cs="Arial"/>
          <w:i/>
          <w:iCs/>
        </w:rPr>
        <w:t>tel</w:t>
      </w:r>
      <w:r w:rsidR="00697540" w:rsidRPr="00437A05">
        <w:rPr>
          <w:rFonts w:ascii="Arial" w:hAnsi="Arial" w:cs="Arial"/>
          <w:i/>
          <w:iCs/>
        </w:rPr>
        <w:t xml:space="preserve"> qu’il est écrit, en limitant l’avis « simple » de l’ABF aux arretés de péril/insécurité et d’insalubrité prononçant une interdiction définitive ou une démolition, on en dédui</w:t>
      </w:r>
      <w:r w:rsidR="00A72F9B">
        <w:rPr>
          <w:rFonts w:ascii="Arial" w:hAnsi="Arial" w:cs="Arial"/>
          <w:i/>
          <w:iCs/>
        </w:rPr>
        <w:t>t,</w:t>
      </w:r>
      <w:r w:rsidR="00697540" w:rsidRPr="00437A05">
        <w:rPr>
          <w:rFonts w:ascii="Arial" w:hAnsi="Arial" w:cs="Arial"/>
          <w:i/>
          <w:iCs/>
        </w:rPr>
        <w:t xml:space="preserve"> à contrario, que </w:t>
      </w:r>
      <w:r w:rsidR="00697540" w:rsidRPr="00A72F9B">
        <w:rPr>
          <w:rFonts w:ascii="Arial" w:hAnsi="Arial" w:cs="Arial"/>
          <w:b/>
          <w:bCs/>
          <w:i/>
          <w:iCs/>
        </w:rPr>
        <w:t xml:space="preserve">cet avis </w:t>
      </w:r>
      <w:r w:rsidR="008F038F">
        <w:rPr>
          <w:rFonts w:ascii="Arial" w:hAnsi="Arial" w:cs="Arial"/>
          <w:b/>
          <w:bCs/>
          <w:i/>
          <w:iCs/>
        </w:rPr>
        <w:t xml:space="preserve">reste </w:t>
      </w:r>
      <w:r w:rsidR="00697540" w:rsidRPr="00A72F9B">
        <w:rPr>
          <w:rFonts w:ascii="Arial" w:hAnsi="Arial" w:cs="Arial"/>
          <w:b/>
          <w:bCs/>
          <w:i/>
          <w:iCs/>
        </w:rPr>
        <w:t>conforme</w:t>
      </w:r>
      <w:r w:rsidR="00697540" w:rsidRPr="00437A05">
        <w:rPr>
          <w:rFonts w:ascii="Arial" w:hAnsi="Arial" w:cs="Arial"/>
          <w:i/>
          <w:iCs/>
        </w:rPr>
        <w:t xml:space="preserve"> lorsque ledit </w:t>
      </w:r>
      <w:r w:rsidR="00437A05" w:rsidRPr="00437A05">
        <w:rPr>
          <w:rFonts w:ascii="Arial" w:hAnsi="Arial" w:cs="Arial"/>
          <w:i/>
          <w:iCs/>
        </w:rPr>
        <w:t>arrêté</w:t>
      </w:r>
      <w:r w:rsidR="00697540" w:rsidRPr="00437A05">
        <w:rPr>
          <w:rFonts w:ascii="Arial" w:hAnsi="Arial" w:cs="Arial"/>
          <w:i/>
          <w:iCs/>
        </w:rPr>
        <w:t xml:space="preserve"> prescrit des </w:t>
      </w:r>
      <w:r w:rsidR="00697540" w:rsidRPr="00A72F9B">
        <w:rPr>
          <w:rFonts w:ascii="Arial" w:hAnsi="Arial" w:cs="Arial"/>
          <w:b/>
          <w:bCs/>
          <w:i/>
          <w:iCs/>
        </w:rPr>
        <w:t>travaux de réparation</w:t>
      </w:r>
      <w:r w:rsidR="00697540" w:rsidRPr="00437A05">
        <w:rPr>
          <w:rFonts w:ascii="Arial" w:hAnsi="Arial" w:cs="Arial"/>
          <w:i/>
          <w:iCs/>
        </w:rPr>
        <w:t>, lequel est effectivement hors du champ du L632-2-1 du code du patrimoine…</w:t>
      </w:r>
    </w:p>
    <w:p w14:paraId="6F22A1CC" w14:textId="1253DD72" w:rsidR="00F16588" w:rsidRPr="00D3797C" w:rsidRDefault="00437A05" w:rsidP="005863FA">
      <w:pPr>
        <w:spacing w:after="120" w:line="240" w:lineRule="auto"/>
        <w:rPr>
          <w:rFonts w:ascii="Arial" w:hAnsi="Arial" w:cs="Arial"/>
          <w:b/>
          <w:bCs/>
          <w:i/>
          <w:iCs/>
        </w:rPr>
      </w:pPr>
      <w:r>
        <w:rPr>
          <w:rFonts w:ascii="Arial" w:hAnsi="Arial" w:cs="Arial"/>
        </w:rPr>
        <w:t xml:space="preserve">On rappelle que </w:t>
      </w:r>
      <w:r w:rsidR="00F16588" w:rsidRPr="00ED2883">
        <w:rPr>
          <w:rFonts w:ascii="Arial" w:hAnsi="Arial" w:cs="Arial"/>
        </w:rPr>
        <w:t>l'art R</w:t>
      </w:r>
      <w:r w:rsidR="00F87BC9" w:rsidRPr="00ED2883">
        <w:rPr>
          <w:rFonts w:ascii="Arial" w:hAnsi="Arial" w:cs="Arial"/>
        </w:rPr>
        <w:t>511-4 du CCH prévoit déjà qu'un arrêté prescrivant</w:t>
      </w:r>
      <w:r w:rsidR="007C290A">
        <w:rPr>
          <w:rFonts w:ascii="Arial" w:hAnsi="Arial" w:cs="Arial"/>
        </w:rPr>
        <w:t>, ou non</w:t>
      </w:r>
      <w:r>
        <w:rPr>
          <w:rStyle w:val="Appelnotedebasdep"/>
          <w:rFonts w:ascii="Arial" w:hAnsi="Arial" w:cs="Arial"/>
        </w:rPr>
        <w:footnoteReference w:id="7"/>
      </w:r>
      <w:r w:rsidR="007C290A">
        <w:rPr>
          <w:rFonts w:ascii="Arial" w:hAnsi="Arial" w:cs="Arial"/>
        </w:rPr>
        <w:t xml:space="preserve">, </w:t>
      </w:r>
      <w:r w:rsidR="00F87BC9" w:rsidRPr="00ED2883">
        <w:rPr>
          <w:rFonts w:ascii="Arial" w:hAnsi="Arial" w:cs="Arial"/>
        </w:rPr>
        <w:t xml:space="preserve">la démolition n'est </w:t>
      </w:r>
      <w:proofErr w:type="gramStart"/>
      <w:r w:rsidR="00F87BC9" w:rsidRPr="00ED2883">
        <w:rPr>
          <w:rFonts w:ascii="Arial" w:hAnsi="Arial" w:cs="Arial"/>
        </w:rPr>
        <w:t>soumis</w:t>
      </w:r>
      <w:proofErr w:type="gramEnd"/>
      <w:r w:rsidR="00F87BC9" w:rsidRPr="00ED2883">
        <w:rPr>
          <w:rFonts w:ascii="Arial" w:hAnsi="Arial" w:cs="Arial"/>
        </w:rPr>
        <w:t xml:space="preserve"> </w:t>
      </w:r>
      <w:r w:rsidR="00F16588" w:rsidRPr="00ED2883">
        <w:rPr>
          <w:rFonts w:ascii="Arial" w:hAnsi="Arial" w:cs="Arial"/>
        </w:rPr>
        <w:t>qu'</w:t>
      </w:r>
      <w:r w:rsidR="00F87BC9" w:rsidRPr="00ED2883">
        <w:rPr>
          <w:rFonts w:ascii="Arial" w:hAnsi="Arial" w:cs="Arial"/>
        </w:rPr>
        <w:t xml:space="preserve">à </w:t>
      </w:r>
      <w:r w:rsidR="0032082F" w:rsidRPr="00ED2883">
        <w:rPr>
          <w:rFonts w:ascii="Arial" w:hAnsi="Arial" w:cs="Arial"/>
        </w:rPr>
        <w:t xml:space="preserve">simple </w:t>
      </w:r>
      <w:r w:rsidR="00F87BC9" w:rsidRPr="00ED2883">
        <w:rPr>
          <w:rFonts w:ascii="Arial" w:hAnsi="Arial" w:cs="Arial"/>
        </w:rPr>
        <w:t xml:space="preserve">avis de l'ABF et ceci depuis des </w:t>
      </w:r>
      <w:r w:rsidR="00F16588" w:rsidRPr="00ED2883">
        <w:rPr>
          <w:rFonts w:ascii="Arial" w:hAnsi="Arial" w:cs="Arial"/>
        </w:rPr>
        <w:t>décennies</w:t>
      </w:r>
      <w:r w:rsidR="009605C1" w:rsidRPr="00ED2883">
        <w:rPr>
          <w:rFonts w:ascii="Arial" w:hAnsi="Arial" w:cs="Arial"/>
        </w:rPr>
        <w:t xml:space="preserve">. Or, </w:t>
      </w:r>
      <w:r w:rsidR="00F16588" w:rsidRPr="00ED2883">
        <w:rPr>
          <w:rFonts w:ascii="Arial" w:hAnsi="Arial" w:cs="Arial"/>
        </w:rPr>
        <w:t>aucune autre mesure ne peut être prescrite sur un immeuble dont l'état a été qualifié d'irrémédiable</w:t>
      </w:r>
      <w:r w:rsidR="009605C1" w:rsidRPr="00ED2883">
        <w:rPr>
          <w:rStyle w:val="Appelnotedebasdep"/>
          <w:rFonts w:ascii="Arial" w:hAnsi="Arial" w:cs="Arial"/>
        </w:rPr>
        <w:footnoteReference w:id="8"/>
      </w:r>
      <w:r w:rsidR="00F16588" w:rsidRPr="00ED2883">
        <w:rPr>
          <w:rFonts w:ascii="Arial" w:hAnsi="Arial" w:cs="Arial"/>
        </w:rPr>
        <w:t xml:space="preserve">, c'est-à-dire lorsque les travaux de réparation sont d'un coût supérieur à celui de la reconstruction, comme précisé plus haut. </w:t>
      </w:r>
      <w:r w:rsidR="00F16588" w:rsidRPr="00D3797C">
        <w:rPr>
          <w:rFonts w:ascii="Arial" w:hAnsi="Arial" w:cs="Arial"/>
          <w:b/>
          <w:bCs/>
          <w:i/>
          <w:iCs/>
          <w:u w:val="single"/>
        </w:rPr>
        <w:t>Donc cet article est sans objet</w:t>
      </w:r>
      <w:r w:rsidR="003F6863" w:rsidRPr="00D3797C">
        <w:rPr>
          <w:rFonts w:ascii="Arial" w:hAnsi="Arial" w:cs="Arial"/>
          <w:b/>
          <w:bCs/>
          <w:i/>
          <w:iCs/>
          <w:u w:val="single"/>
        </w:rPr>
        <w:t xml:space="preserve">, ou, plus précisément, n'apporte rien de </w:t>
      </w:r>
      <w:r w:rsidR="0032082F" w:rsidRPr="00D3797C">
        <w:rPr>
          <w:rFonts w:ascii="Arial" w:hAnsi="Arial" w:cs="Arial"/>
          <w:b/>
          <w:bCs/>
          <w:i/>
          <w:iCs/>
          <w:u w:val="single"/>
        </w:rPr>
        <w:t xml:space="preserve">neuf, </w:t>
      </w:r>
      <w:r w:rsidR="0032082F" w:rsidRPr="00D3797C">
        <w:rPr>
          <w:rFonts w:ascii="Arial" w:hAnsi="Arial" w:cs="Arial"/>
          <w:b/>
          <w:bCs/>
          <w:i/>
          <w:iCs/>
        </w:rPr>
        <w:t>sauf</w:t>
      </w:r>
      <w:r w:rsidR="00F16588" w:rsidRPr="00D3797C">
        <w:rPr>
          <w:rFonts w:ascii="Arial" w:hAnsi="Arial" w:cs="Arial"/>
          <w:b/>
          <w:bCs/>
          <w:i/>
          <w:iCs/>
        </w:rPr>
        <w:t xml:space="preserve"> à répéter qu'en cas d'arrêté prescrivant la démolition l'avis de l'ABF est simple, ce qui est déjà le cas. </w:t>
      </w:r>
    </w:p>
    <w:p w14:paraId="1EA6086C" w14:textId="46AC638D" w:rsidR="00F16588" w:rsidRDefault="008F038F" w:rsidP="005863FA">
      <w:pPr>
        <w:spacing w:after="120" w:line="240" w:lineRule="auto"/>
        <w:rPr>
          <w:rFonts w:ascii="Arial" w:hAnsi="Arial" w:cs="Arial"/>
        </w:rPr>
      </w:pPr>
      <w:r>
        <w:rPr>
          <w:rFonts w:ascii="Arial" w:hAnsi="Arial" w:cs="Arial"/>
        </w:rPr>
        <w:t>En résumé, d</w:t>
      </w:r>
      <w:r w:rsidR="003F6863" w:rsidRPr="00ED2883">
        <w:rPr>
          <w:rFonts w:ascii="Arial" w:hAnsi="Arial" w:cs="Arial"/>
        </w:rPr>
        <w:t>ans tous ces cas</w:t>
      </w:r>
      <w:r>
        <w:rPr>
          <w:rFonts w:ascii="Arial" w:hAnsi="Arial" w:cs="Arial"/>
        </w:rPr>
        <w:t xml:space="preserve"> où sur un immeuble soumis à une seule interdiction définitive d’habiter ou d’utiliser</w:t>
      </w:r>
      <w:r w:rsidR="003F6863" w:rsidRPr="00ED2883">
        <w:rPr>
          <w:rFonts w:ascii="Arial" w:hAnsi="Arial" w:cs="Arial"/>
        </w:rPr>
        <w:t xml:space="preserve">, </w:t>
      </w:r>
      <w:r>
        <w:rPr>
          <w:rFonts w:ascii="Arial" w:hAnsi="Arial" w:cs="Arial"/>
        </w:rPr>
        <w:t xml:space="preserve">si le propriétaire veut effectuer des travaux, </w:t>
      </w:r>
      <w:r w:rsidR="003F6863" w:rsidRPr="00D3797C">
        <w:rPr>
          <w:rFonts w:ascii="Arial" w:hAnsi="Arial" w:cs="Arial"/>
          <w:b/>
          <w:bCs/>
          <w:i/>
          <w:u w:val="single"/>
        </w:rPr>
        <w:t>l'avis conforme de l'ABF demeure</w:t>
      </w:r>
      <w:r w:rsidR="003F6863" w:rsidRPr="00ED2883">
        <w:rPr>
          <w:rFonts w:ascii="Arial" w:hAnsi="Arial" w:cs="Arial"/>
          <w:u w:val="single"/>
        </w:rPr>
        <w:t>,</w:t>
      </w:r>
      <w:r w:rsidR="003F6863" w:rsidRPr="00ED2883">
        <w:rPr>
          <w:rFonts w:ascii="Arial" w:hAnsi="Arial" w:cs="Arial"/>
        </w:rPr>
        <w:t xml:space="preserve"> car </w:t>
      </w:r>
      <w:r w:rsidR="007C290A">
        <w:rPr>
          <w:rFonts w:ascii="Arial" w:hAnsi="Arial" w:cs="Arial"/>
        </w:rPr>
        <w:t>l</w:t>
      </w:r>
      <w:r w:rsidR="003F6863" w:rsidRPr="00ED2883">
        <w:rPr>
          <w:rFonts w:ascii="Arial" w:hAnsi="Arial" w:cs="Arial"/>
        </w:rPr>
        <w:t xml:space="preserve">es travaux </w:t>
      </w:r>
      <w:r w:rsidR="007C290A">
        <w:rPr>
          <w:rFonts w:ascii="Arial" w:hAnsi="Arial" w:cs="Arial"/>
        </w:rPr>
        <w:t>en cause sont autres que ce qui est prescrit par l’arrêté de type « irrémédiable » - lequel par définition ne prescrit pas de travaux</w:t>
      </w:r>
      <w:r w:rsidR="007C290A">
        <w:rPr>
          <w:rStyle w:val="Appelnotedebasdep"/>
          <w:rFonts w:ascii="Arial" w:hAnsi="Arial" w:cs="Arial"/>
        </w:rPr>
        <w:footnoteReference w:id="9"/>
      </w:r>
      <w:r w:rsidR="007C290A">
        <w:rPr>
          <w:rFonts w:ascii="Arial" w:hAnsi="Arial" w:cs="Arial"/>
        </w:rPr>
        <w:t xml:space="preserve">… </w:t>
      </w:r>
      <w:r w:rsidR="009605C1" w:rsidRPr="00ED2883">
        <w:rPr>
          <w:rFonts w:ascii="Arial" w:hAnsi="Arial" w:cs="Arial"/>
        </w:rPr>
        <w:t>et n'entre donc dans le champ de l'art L632-2-1 du code du patrimoine.</w:t>
      </w:r>
    </w:p>
    <w:p w14:paraId="7F26D3B0" w14:textId="77777777" w:rsidR="00CC0FF4" w:rsidRDefault="00CC0FF4" w:rsidP="00AD6555">
      <w:pPr>
        <w:pStyle w:val="Default"/>
      </w:pPr>
    </w:p>
    <w:p w14:paraId="45B43295" w14:textId="261E9AD6" w:rsidR="00D722B7" w:rsidRDefault="00D722B7" w:rsidP="00AD6555">
      <w:pPr>
        <w:pStyle w:val="Default"/>
      </w:pPr>
      <w:r>
        <w:t xml:space="preserve">Au vu de la rédaction du 3° du L632-2-1 du code du patrimoine et de l’analyse ci-dessus, la fiche technique éditée par le ministère de la Culture </w:t>
      </w:r>
      <w:r w:rsidR="00AD6555">
        <w:t xml:space="preserve">en juillet 2019 </w:t>
      </w:r>
      <w:r>
        <w:t xml:space="preserve">qui stipule que : </w:t>
      </w:r>
      <w:r w:rsidR="00AD6555" w:rsidRPr="00AD6555">
        <w:rPr>
          <w:i/>
          <w:iCs/>
        </w:rPr>
        <w:t>« </w:t>
      </w:r>
      <w:r w:rsidR="00AD6555" w:rsidRPr="00AD6555">
        <w:rPr>
          <w:i/>
          <w:iCs/>
          <w:sz w:val="22"/>
          <w:szCs w:val="22"/>
        </w:rPr>
        <w:t>Cependant, l’ABF est désormais consulté également pour avis, et non plus pour accord, sur les travaux réalisés pour l’exécution de ces mesures dans le cadre de l’instruction de l’autorisation d’urbanisme déposée</w:t>
      </w:r>
      <w:r w:rsidR="00AD6555">
        <w:rPr>
          <w:b/>
          <w:bCs/>
          <w:sz w:val="22"/>
          <w:szCs w:val="22"/>
        </w:rPr>
        <w:t>.</w:t>
      </w:r>
      <w:r w:rsidR="00AD6555">
        <w:rPr>
          <w:b/>
          <w:bCs/>
          <w:sz w:val="22"/>
          <w:szCs w:val="22"/>
        </w:rPr>
        <w:t xml:space="preserve"> » </w:t>
      </w:r>
      <w:r>
        <w:t xml:space="preserve">est juridiquement fausse </w:t>
      </w:r>
      <w:r w:rsidR="00AD6555">
        <w:t>car un arrêté de type « irrémédiable » ne peut jamais prescrire de travaux autre que la démolition (voir ci-dessus) : cette disposition est donc sans objet.</w:t>
      </w:r>
    </w:p>
    <w:p w14:paraId="629DCDB5" w14:textId="77777777" w:rsidR="00F121C9" w:rsidRPr="00437A05" w:rsidRDefault="00F121C9" w:rsidP="00437A05">
      <w:pPr>
        <w:spacing w:after="120" w:line="240" w:lineRule="auto"/>
        <w:ind w:firstLine="284"/>
        <w:rPr>
          <w:rFonts w:ascii="Arial" w:hAnsi="Arial" w:cs="Arial"/>
          <w:b/>
          <w:bCs/>
          <w:u w:val="single"/>
        </w:rPr>
      </w:pPr>
      <w:r w:rsidRPr="00437A05">
        <w:rPr>
          <w:rFonts w:ascii="Arial" w:hAnsi="Arial" w:cs="Arial"/>
          <w:b/>
          <w:bCs/>
          <w:u w:val="single"/>
        </w:rPr>
        <w:lastRenderedPageBreak/>
        <w:t xml:space="preserve">II-3. Cas des arrêtés ayant prescrit des travaux de réparation </w:t>
      </w:r>
    </w:p>
    <w:p w14:paraId="5AE9749D" w14:textId="77777777" w:rsidR="0059548B" w:rsidRPr="00ED2883" w:rsidRDefault="003F6863" w:rsidP="005863FA">
      <w:pPr>
        <w:spacing w:after="120" w:line="240" w:lineRule="auto"/>
        <w:rPr>
          <w:rFonts w:ascii="Arial" w:hAnsi="Arial" w:cs="Arial"/>
        </w:rPr>
      </w:pPr>
      <w:r w:rsidRPr="00ED2883">
        <w:rPr>
          <w:rFonts w:ascii="Arial" w:hAnsi="Arial" w:cs="Arial"/>
        </w:rPr>
        <w:t xml:space="preserve">Dans ces cas, s'applique le droit commun des autorisations, selon la nature des travaux </w:t>
      </w:r>
      <w:r w:rsidR="0032082F" w:rsidRPr="00ED2883">
        <w:rPr>
          <w:rFonts w:ascii="Arial" w:hAnsi="Arial" w:cs="Arial"/>
        </w:rPr>
        <w:t>prescrits par</w:t>
      </w:r>
      <w:r w:rsidR="00293477" w:rsidRPr="00ED2883">
        <w:rPr>
          <w:rFonts w:ascii="Arial" w:hAnsi="Arial" w:cs="Arial"/>
        </w:rPr>
        <w:t xml:space="preserve"> l'arrêté d'insalubrité ou d'insécurité/péril </w:t>
      </w:r>
      <w:r w:rsidRPr="00ED2883">
        <w:rPr>
          <w:rFonts w:ascii="Arial" w:hAnsi="Arial" w:cs="Arial"/>
        </w:rPr>
        <w:t xml:space="preserve">et soumis à </w:t>
      </w:r>
      <w:r w:rsidR="002A0854" w:rsidRPr="00ED2883">
        <w:rPr>
          <w:rFonts w:ascii="Arial" w:hAnsi="Arial" w:cs="Arial"/>
          <w:u w:val="single"/>
        </w:rPr>
        <w:t xml:space="preserve">avis conforme </w:t>
      </w:r>
      <w:r w:rsidR="002A0854" w:rsidRPr="00ED2883">
        <w:rPr>
          <w:rFonts w:ascii="Arial" w:hAnsi="Arial" w:cs="Arial"/>
        </w:rPr>
        <w:t xml:space="preserve">de l’ABF dans tous les cas </w:t>
      </w:r>
      <w:r w:rsidR="00293477" w:rsidRPr="00ED2883">
        <w:rPr>
          <w:rFonts w:ascii="Arial" w:hAnsi="Arial" w:cs="Arial"/>
        </w:rPr>
        <w:t>:</w:t>
      </w:r>
    </w:p>
    <w:p w14:paraId="492B9F66" w14:textId="77777777" w:rsidR="0059548B" w:rsidRPr="00ED2883" w:rsidRDefault="00293477" w:rsidP="005863FA">
      <w:pPr>
        <w:numPr>
          <w:ilvl w:val="1"/>
          <w:numId w:val="5"/>
        </w:numPr>
        <w:tabs>
          <w:tab w:val="clear" w:pos="1440"/>
          <w:tab w:val="num" w:pos="851"/>
        </w:tabs>
        <w:spacing w:after="120" w:line="240" w:lineRule="auto"/>
        <w:ind w:left="851" w:hanging="284"/>
        <w:rPr>
          <w:rFonts w:ascii="Arial" w:hAnsi="Arial" w:cs="Arial"/>
        </w:rPr>
      </w:pPr>
      <w:r w:rsidRPr="00ED2883">
        <w:rPr>
          <w:rFonts w:ascii="Arial" w:hAnsi="Arial" w:cs="Arial"/>
        </w:rPr>
        <w:t>s</w:t>
      </w:r>
      <w:r w:rsidR="002A0854" w:rsidRPr="00ED2883">
        <w:rPr>
          <w:rFonts w:ascii="Arial" w:hAnsi="Arial" w:cs="Arial"/>
        </w:rPr>
        <w:t xml:space="preserve">oumis à DP lorsqu’ils affectent les extérieurs du bâtiment </w:t>
      </w:r>
    </w:p>
    <w:p w14:paraId="298EE944" w14:textId="77777777" w:rsidR="0059548B" w:rsidRPr="00ED2883" w:rsidRDefault="00293477" w:rsidP="005863FA">
      <w:pPr>
        <w:numPr>
          <w:ilvl w:val="1"/>
          <w:numId w:val="5"/>
        </w:numPr>
        <w:tabs>
          <w:tab w:val="clear" w:pos="1440"/>
          <w:tab w:val="num" w:pos="851"/>
        </w:tabs>
        <w:spacing w:after="120" w:line="240" w:lineRule="auto"/>
        <w:ind w:left="851" w:hanging="284"/>
        <w:rPr>
          <w:rFonts w:ascii="Arial" w:hAnsi="Arial" w:cs="Arial"/>
        </w:rPr>
      </w:pPr>
      <w:r w:rsidRPr="00ED2883">
        <w:rPr>
          <w:rFonts w:ascii="Arial" w:hAnsi="Arial" w:cs="Arial"/>
        </w:rPr>
        <w:t>à</w:t>
      </w:r>
      <w:r w:rsidR="002A0854" w:rsidRPr="00ED2883">
        <w:rPr>
          <w:rFonts w:ascii="Arial" w:hAnsi="Arial" w:cs="Arial"/>
        </w:rPr>
        <w:t xml:space="preserve"> rien si </w:t>
      </w:r>
      <w:r w:rsidRPr="00ED2883">
        <w:rPr>
          <w:rFonts w:ascii="Arial" w:hAnsi="Arial" w:cs="Arial"/>
        </w:rPr>
        <w:t xml:space="preserve">n’affectent que les intérieurs </w:t>
      </w:r>
      <w:r w:rsidR="002A0854" w:rsidRPr="00ED2883">
        <w:rPr>
          <w:rFonts w:ascii="Arial" w:hAnsi="Arial" w:cs="Arial"/>
        </w:rPr>
        <w:t>en S</w:t>
      </w:r>
      <w:r w:rsidRPr="00ED2883">
        <w:rPr>
          <w:rFonts w:ascii="Arial" w:hAnsi="Arial" w:cs="Arial"/>
        </w:rPr>
        <w:t xml:space="preserve">PR abords </w:t>
      </w:r>
      <w:r w:rsidR="002A0854" w:rsidRPr="00ED2883">
        <w:rPr>
          <w:rFonts w:ascii="Arial" w:hAnsi="Arial" w:cs="Arial"/>
        </w:rPr>
        <w:t xml:space="preserve">ou site </w:t>
      </w:r>
    </w:p>
    <w:p w14:paraId="6A97AE0B" w14:textId="77777777" w:rsidR="0059548B" w:rsidRPr="00ED2883" w:rsidRDefault="00293477" w:rsidP="005863FA">
      <w:pPr>
        <w:numPr>
          <w:ilvl w:val="1"/>
          <w:numId w:val="5"/>
        </w:numPr>
        <w:tabs>
          <w:tab w:val="clear" w:pos="1440"/>
          <w:tab w:val="num" w:pos="851"/>
        </w:tabs>
        <w:spacing w:after="120" w:line="240" w:lineRule="auto"/>
        <w:ind w:left="851" w:hanging="284"/>
        <w:rPr>
          <w:rFonts w:ascii="Arial" w:hAnsi="Arial" w:cs="Arial"/>
        </w:rPr>
      </w:pPr>
      <w:r w:rsidRPr="00ED2883">
        <w:rPr>
          <w:rFonts w:ascii="Arial" w:hAnsi="Arial" w:cs="Arial"/>
        </w:rPr>
        <w:t>e</w:t>
      </w:r>
      <w:r w:rsidR="002A0854" w:rsidRPr="00ED2883">
        <w:rPr>
          <w:rFonts w:ascii="Arial" w:hAnsi="Arial" w:cs="Arial"/>
        </w:rPr>
        <w:t xml:space="preserve">n secteur sauvegardé, DP si les travaux prescrits affectent des intérieurs  (escaliers, décors intérieurs …)  </w:t>
      </w:r>
    </w:p>
    <w:p w14:paraId="57FCBBC1" w14:textId="50CBB3B8" w:rsidR="0059548B" w:rsidRPr="00ED2883" w:rsidRDefault="00293477" w:rsidP="005863FA">
      <w:pPr>
        <w:numPr>
          <w:ilvl w:val="1"/>
          <w:numId w:val="5"/>
        </w:numPr>
        <w:tabs>
          <w:tab w:val="clear" w:pos="1440"/>
          <w:tab w:val="num" w:pos="851"/>
        </w:tabs>
        <w:spacing w:after="120" w:line="240" w:lineRule="auto"/>
        <w:ind w:left="851" w:hanging="284"/>
        <w:rPr>
          <w:rFonts w:ascii="Arial" w:hAnsi="Arial" w:cs="Arial"/>
        </w:rPr>
      </w:pPr>
      <w:proofErr w:type="gramStart"/>
      <w:r w:rsidRPr="00ED2883">
        <w:rPr>
          <w:rFonts w:ascii="Arial" w:hAnsi="Arial" w:cs="Arial"/>
        </w:rPr>
        <w:t>à</w:t>
      </w:r>
      <w:proofErr w:type="gramEnd"/>
      <w:r w:rsidRPr="00ED2883">
        <w:rPr>
          <w:rFonts w:ascii="Arial" w:hAnsi="Arial" w:cs="Arial"/>
        </w:rPr>
        <w:t xml:space="preserve"> priori</w:t>
      </w:r>
      <w:r w:rsidR="002A0854" w:rsidRPr="00ED2883">
        <w:rPr>
          <w:rFonts w:ascii="Arial" w:hAnsi="Arial" w:cs="Arial"/>
        </w:rPr>
        <w:t>, les travaux de</w:t>
      </w:r>
      <w:r w:rsidR="00437A05">
        <w:rPr>
          <w:rFonts w:ascii="Arial" w:hAnsi="Arial" w:cs="Arial"/>
        </w:rPr>
        <w:t xml:space="preserve"> simple</w:t>
      </w:r>
      <w:r w:rsidR="002A0854" w:rsidRPr="00ED2883">
        <w:rPr>
          <w:rFonts w:ascii="Arial" w:hAnsi="Arial" w:cs="Arial"/>
        </w:rPr>
        <w:t xml:space="preserve"> réparation prescrits par un arrêté n’entrent pas dans le champ du PC …</w:t>
      </w:r>
    </w:p>
    <w:p w14:paraId="15BBBA33" w14:textId="77777777" w:rsidR="0059548B" w:rsidRPr="00ED2883" w:rsidRDefault="002A0854" w:rsidP="005863FA">
      <w:pPr>
        <w:numPr>
          <w:ilvl w:val="2"/>
          <w:numId w:val="5"/>
        </w:numPr>
        <w:tabs>
          <w:tab w:val="num" w:pos="851"/>
        </w:tabs>
        <w:spacing w:after="120" w:line="240" w:lineRule="auto"/>
        <w:ind w:left="851" w:hanging="284"/>
        <w:rPr>
          <w:rFonts w:ascii="Arial" w:hAnsi="Arial" w:cs="Arial"/>
        </w:rPr>
      </w:pPr>
      <w:r w:rsidRPr="00ED2883">
        <w:rPr>
          <w:rFonts w:ascii="Arial" w:hAnsi="Arial" w:cs="Arial"/>
          <w:i/>
          <w:iCs/>
        </w:rPr>
        <w:t>mais si le propriétaire effectue d’autres travaux (</w:t>
      </w:r>
      <w:r w:rsidR="00293477" w:rsidRPr="00ED2883">
        <w:rPr>
          <w:rFonts w:ascii="Arial" w:hAnsi="Arial" w:cs="Arial"/>
          <w:i/>
          <w:iCs/>
        </w:rPr>
        <w:t>ouvertures,</w:t>
      </w:r>
      <w:r w:rsidRPr="00ED2883">
        <w:rPr>
          <w:rFonts w:ascii="Arial" w:hAnsi="Arial" w:cs="Arial"/>
          <w:i/>
          <w:iCs/>
        </w:rPr>
        <w:t xml:space="preserve"> surélévations…) : </w:t>
      </w:r>
      <w:r w:rsidR="009605C1" w:rsidRPr="00ED2883">
        <w:rPr>
          <w:rFonts w:ascii="Arial" w:hAnsi="Arial" w:cs="Arial"/>
          <w:i/>
          <w:iCs/>
        </w:rPr>
        <w:t>PC soumis à l'</w:t>
      </w:r>
      <w:r w:rsidRPr="00ED2883">
        <w:rPr>
          <w:rFonts w:ascii="Arial" w:hAnsi="Arial" w:cs="Arial"/>
          <w:i/>
          <w:iCs/>
        </w:rPr>
        <w:t>avis conforme de l’ABF</w:t>
      </w:r>
    </w:p>
    <w:p w14:paraId="5DE2FD42" w14:textId="77777777" w:rsidR="003B5D6A" w:rsidRPr="00ED2883" w:rsidRDefault="003F6863" w:rsidP="003B5D6A">
      <w:pPr>
        <w:spacing w:after="120" w:line="240" w:lineRule="auto"/>
        <w:rPr>
          <w:rFonts w:ascii="Arial" w:hAnsi="Arial" w:cs="Arial"/>
          <w:i/>
          <w:iCs/>
        </w:rPr>
      </w:pPr>
      <w:r w:rsidRPr="00ED2883">
        <w:rPr>
          <w:rFonts w:ascii="Arial" w:hAnsi="Arial" w:cs="Arial"/>
          <w:iCs/>
        </w:rPr>
        <w:t>Si le propriétaire</w:t>
      </w:r>
      <w:r w:rsidR="003B5D6A">
        <w:rPr>
          <w:rFonts w:ascii="Arial" w:hAnsi="Arial" w:cs="Arial"/>
          <w:iCs/>
        </w:rPr>
        <w:t>, public ou privé,</w:t>
      </w:r>
      <w:r w:rsidRPr="00ED2883">
        <w:rPr>
          <w:rFonts w:ascii="Arial" w:hAnsi="Arial" w:cs="Arial"/>
          <w:iCs/>
        </w:rPr>
        <w:t xml:space="preserve"> souhaite démolir tout ou partie du bâtiment : travaux soumis à permis de démolir et </w:t>
      </w:r>
      <w:r w:rsidR="00293477" w:rsidRPr="00D3797C">
        <w:rPr>
          <w:rFonts w:ascii="Arial" w:hAnsi="Arial" w:cs="Arial"/>
          <w:b/>
          <w:bCs/>
          <w:iCs/>
          <w:u w:val="single"/>
        </w:rPr>
        <w:t>avis conforme de l’ABF</w:t>
      </w:r>
      <w:r w:rsidR="003B5D6A">
        <w:rPr>
          <w:rFonts w:ascii="Arial" w:hAnsi="Arial" w:cs="Arial"/>
          <w:iCs/>
          <w:u w:val="single"/>
        </w:rPr>
        <w:t xml:space="preserve"> </w:t>
      </w:r>
      <w:r w:rsidR="003B5D6A" w:rsidRPr="00ED2883">
        <w:rPr>
          <w:rFonts w:ascii="Arial" w:hAnsi="Arial" w:cs="Arial"/>
          <w:iCs/>
        </w:rPr>
        <w:t>car le cas n’est pas visé par l'art L632-2-1 du code du patrimoine.</w:t>
      </w:r>
    </w:p>
    <w:p w14:paraId="681AB8CC" w14:textId="77777777" w:rsidR="003B5D6A" w:rsidRPr="003B5D6A" w:rsidRDefault="003F6863" w:rsidP="005863FA">
      <w:pPr>
        <w:spacing w:after="120" w:line="240" w:lineRule="auto"/>
        <w:rPr>
          <w:rFonts w:ascii="Arial" w:hAnsi="Arial" w:cs="Arial"/>
          <w:i/>
          <w:iCs/>
        </w:rPr>
      </w:pPr>
      <w:r w:rsidRPr="00ED2883">
        <w:rPr>
          <w:rFonts w:ascii="Arial" w:hAnsi="Arial" w:cs="Arial"/>
          <w:i/>
          <w:iCs/>
        </w:rPr>
        <w:t>Dans tous les cas, en cas de SPR</w:t>
      </w:r>
      <w:r w:rsidR="005863FA" w:rsidRPr="00ED2883">
        <w:rPr>
          <w:rFonts w:ascii="Arial" w:hAnsi="Arial" w:cs="Arial"/>
          <w:i/>
          <w:iCs/>
        </w:rPr>
        <w:t xml:space="preserve"> ou de PSMV</w:t>
      </w:r>
      <w:r w:rsidRPr="00ED2883">
        <w:rPr>
          <w:rFonts w:ascii="Arial" w:hAnsi="Arial" w:cs="Arial"/>
          <w:i/>
          <w:iCs/>
        </w:rPr>
        <w:t>, l</w:t>
      </w:r>
      <w:r w:rsidR="0032082F" w:rsidRPr="00ED2883">
        <w:rPr>
          <w:rFonts w:ascii="Arial" w:hAnsi="Arial" w:cs="Arial"/>
          <w:i/>
          <w:iCs/>
        </w:rPr>
        <w:t xml:space="preserve">’application du </w:t>
      </w:r>
      <w:r w:rsidRPr="00ED2883">
        <w:rPr>
          <w:rFonts w:ascii="Arial" w:hAnsi="Arial" w:cs="Arial"/>
          <w:i/>
          <w:iCs/>
        </w:rPr>
        <w:t>règlement de celui-ci s’impose</w:t>
      </w:r>
      <w:r w:rsidR="0032082F" w:rsidRPr="00ED2883">
        <w:rPr>
          <w:rFonts w:ascii="Arial" w:hAnsi="Arial" w:cs="Arial"/>
          <w:i/>
          <w:iCs/>
        </w:rPr>
        <w:t>.</w:t>
      </w:r>
      <w:r w:rsidRPr="00ED2883">
        <w:rPr>
          <w:rFonts w:ascii="Arial" w:hAnsi="Arial" w:cs="Arial"/>
          <w:iCs/>
        </w:rPr>
        <w:t xml:space="preserve"> </w:t>
      </w:r>
    </w:p>
    <w:p w14:paraId="6430528F" w14:textId="77777777" w:rsidR="00971F6D" w:rsidRPr="00ED2883" w:rsidRDefault="00D122D8" w:rsidP="005863FA">
      <w:pPr>
        <w:spacing w:after="120" w:line="240" w:lineRule="auto"/>
        <w:rPr>
          <w:rFonts w:ascii="Arial" w:hAnsi="Arial" w:cs="Arial"/>
          <w:i/>
          <w:color w:val="0070C0"/>
        </w:rPr>
      </w:pPr>
      <w:r w:rsidRPr="00ED2883">
        <w:rPr>
          <w:rFonts w:ascii="Arial" w:hAnsi="Arial" w:cs="Arial"/>
          <w:b/>
          <w:bCs/>
          <w:i/>
          <w:color w:val="0070C0"/>
        </w:rPr>
        <w:t>Observation : y</w:t>
      </w:r>
      <w:r w:rsidRPr="00ED2883">
        <w:rPr>
          <w:rFonts w:ascii="Arial" w:hAnsi="Arial" w:cs="Arial"/>
          <w:i/>
          <w:color w:val="0070C0"/>
        </w:rPr>
        <w:t>-a-il un régime différent d’application de ces dispositions selon la date de l’</w:t>
      </w:r>
      <w:r w:rsidR="00971F6D" w:rsidRPr="00ED2883">
        <w:rPr>
          <w:rFonts w:ascii="Arial" w:hAnsi="Arial" w:cs="Arial"/>
          <w:i/>
          <w:color w:val="0070C0"/>
        </w:rPr>
        <w:t>arrêté</w:t>
      </w:r>
      <w:r w:rsidRPr="00ED2883">
        <w:rPr>
          <w:rFonts w:ascii="Arial" w:hAnsi="Arial" w:cs="Arial"/>
          <w:i/>
          <w:color w:val="0070C0"/>
        </w:rPr>
        <w:t xml:space="preserve"> d’insalubrité ou de péril, avant la loi ELAN, entre la loi ELAN (2018) et l’ordonnance du 16/09/2020 et </w:t>
      </w:r>
      <w:r w:rsidR="00971F6D" w:rsidRPr="00ED2883">
        <w:rPr>
          <w:rFonts w:ascii="Arial" w:hAnsi="Arial" w:cs="Arial"/>
          <w:i/>
          <w:color w:val="0070C0"/>
        </w:rPr>
        <w:t>postérieurement</w:t>
      </w:r>
      <w:r w:rsidRPr="00ED2883">
        <w:rPr>
          <w:rFonts w:ascii="Arial" w:hAnsi="Arial" w:cs="Arial"/>
          <w:i/>
          <w:color w:val="0070C0"/>
        </w:rPr>
        <w:t xml:space="preserve"> à cette dernière ? </w:t>
      </w:r>
    </w:p>
    <w:p w14:paraId="2CDC19BB" w14:textId="7B98A3DA" w:rsidR="00D122D8" w:rsidRPr="00ED2883" w:rsidRDefault="00D122D8" w:rsidP="005863FA">
      <w:pPr>
        <w:spacing w:after="120" w:line="240" w:lineRule="auto"/>
        <w:rPr>
          <w:rFonts w:ascii="Arial" w:hAnsi="Arial" w:cs="Arial"/>
          <w:i/>
          <w:color w:val="0070C0"/>
        </w:rPr>
      </w:pPr>
      <w:r w:rsidRPr="00ED2883">
        <w:rPr>
          <w:rFonts w:ascii="Arial" w:hAnsi="Arial" w:cs="Arial"/>
          <w:i/>
          <w:color w:val="0070C0"/>
        </w:rPr>
        <w:t>NON</w:t>
      </w:r>
      <w:r w:rsidR="00971F6D" w:rsidRPr="00ED2883">
        <w:rPr>
          <w:rFonts w:ascii="Arial" w:hAnsi="Arial" w:cs="Arial"/>
          <w:i/>
          <w:color w:val="0070C0"/>
        </w:rPr>
        <w:t>, car la modification de l’écriture juridique du 3°) du L632-2-1 du code du patrimoine en 2020 ne fait qu’une harmonisation des textes pour s’appliquer à la nouvelle codification des textes relatifs au péril/insécurité et à l’insalubrité. Aussi quel</w:t>
      </w:r>
      <w:r w:rsidR="007A7166">
        <w:rPr>
          <w:rFonts w:ascii="Arial" w:hAnsi="Arial" w:cs="Arial"/>
          <w:i/>
          <w:color w:val="0070C0"/>
        </w:rPr>
        <w:t xml:space="preserve">le </w:t>
      </w:r>
      <w:r w:rsidR="00971F6D" w:rsidRPr="00ED2883">
        <w:rPr>
          <w:rFonts w:ascii="Arial" w:hAnsi="Arial" w:cs="Arial"/>
          <w:i/>
          <w:color w:val="0070C0"/>
        </w:rPr>
        <w:t xml:space="preserve">que soit la date d’un </w:t>
      </w:r>
      <w:r w:rsidR="0032082F" w:rsidRPr="00ED2883">
        <w:rPr>
          <w:rFonts w:ascii="Arial" w:hAnsi="Arial" w:cs="Arial"/>
          <w:i/>
          <w:color w:val="0070C0"/>
        </w:rPr>
        <w:t>arrêté</w:t>
      </w:r>
      <w:r w:rsidR="00971F6D" w:rsidRPr="00ED2883">
        <w:rPr>
          <w:rFonts w:ascii="Arial" w:hAnsi="Arial" w:cs="Arial"/>
          <w:i/>
          <w:color w:val="0070C0"/>
        </w:rPr>
        <w:t>, les dispositions ci-dessus s’appliquent, notamment en cas de démolition.</w:t>
      </w:r>
    </w:p>
    <w:p w14:paraId="12D3F659" w14:textId="77777777" w:rsidR="00D122D8" w:rsidRDefault="00D122D8" w:rsidP="005863FA">
      <w:pPr>
        <w:spacing w:after="120" w:line="240" w:lineRule="auto"/>
        <w:rPr>
          <w:rFonts w:ascii="Arial" w:hAnsi="Arial" w:cs="Arial"/>
          <w:i/>
          <w:color w:val="0070C0"/>
          <w:sz w:val="24"/>
          <w:szCs w:val="24"/>
        </w:rPr>
      </w:pPr>
    </w:p>
    <w:p w14:paraId="689E7EE2" w14:textId="48778F19" w:rsidR="00F121C9" w:rsidRPr="00437A05" w:rsidRDefault="00F121C9" w:rsidP="00437A05">
      <w:pPr>
        <w:pStyle w:val="Paragraphedeliste"/>
        <w:numPr>
          <w:ilvl w:val="0"/>
          <w:numId w:val="4"/>
        </w:numPr>
        <w:spacing w:after="120" w:line="240" w:lineRule="auto"/>
        <w:ind w:left="426" w:hanging="426"/>
        <w:rPr>
          <w:rFonts w:ascii="Arial" w:hAnsi="Arial" w:cs="Arial"/>
          <w:b/>
          <w:sz w:val="24"/>
          <w:szCs w:val="24"/>
          <w:u w:val="single"/>
        </w:rPr>
      </w:pPr>
      <w:r w:rsidRPr="00437A05">
        <w:rPr>
          <w:rFonts w:ascii="Arial" w:hAnsi="Arial" w:cs="Arial"/>
          <w:b/>
          <w:sz w:val="24"/>
          <w:szCs w:val="24"/>
          <w:u w:val="single"/>
        </w:rPr>
        <w:t>Intervention de l'ABF dans les ”autres opérations</w:t>
      </w:r>
      <w:proofErr w:type="gramStart"/>
      <w:r w:rsidRPr="00437A05">
        <w:rPr>
          <w:rFonts w:ascii="Arial" w:hAnsi="Arial" w:cs="Arial"/>
          <w:b/>
          <w:sz w:val="24"/>
          <w:szCs w:val="24"/>
          <w:u w:val="single"/>
        </w:rPr>
        <w:t xml:space="preserve">”  </w:t>
      </w:r>
      <w:r w:rsidR="00C8083D" w:rsidRPr="00437A05">
        <w:rPr>
          <w:rFonts w:ascii="Arial" w:hAnsi="Arial" w:cs="Arial"/>
          <w:b/>
          <w:sz w:val="24"/>
          <w:szCs w:val="24"/>
          <w:u w:val="single"/>
        </w:rPr>
        <w:t>du</w:t>
      </w:r>
      <w:proofErr w:type="gramEnd"/>
      <w:r w:rsidR="00C8083D" w:rsidRPr="00437A05">
        <w:rPr>
          <w:rFonts w:ascii="Arial" w:hAnsi="Arial" w:cs="Arial"/>
          <w:b/>
          <w:sz w:val="24"/>
          <w:szCs w:val="24"/>
          <w:u w:val="single"/>
        </w:rPr>
        <w:t xml:space="preserve"> 2</w:t>
      </w:r>
      <w:proofErr w:type="gramStart"/>
      <w:r w:rsidR="008F038F">
        <w:rPr>
          <w:rFonts w:ascii="Arial" w:hAnsi="Arial" w:cs="Arial"/>
          <w:b/>
          <w:sz w:val="24"/>
          <w:szCs w:val="24"/>
          <w:u w:val="single"/>
        </w:rPr>
        <w:t xml:space="preserve">° </w:t>
      </w:r>
      <w:r w:rsidR="00C8083D" w:rsidRPr="00437A05">
        <w:rPr>
          <w:rFonts w:ascii="Arial" w:hAnsi="Arial" w:cs="Arial"/>
          <w:b/>
          <w:sz w:val="24"/>
          <w:szCs w:val="24"/>
          <w:u w:val="single"/>
        </w:rPr>
        <w:t xml:space="preserve"> </w:t>
      </w:r>
      <w:r w:rsidRPr="00437A05">
        <w:rPr>
          <w:rFonts w:ascii="Arial" w:hAnsi="Arial" w:cs="Arial"/>
          <w:b/>
          <w:sz w:val="24"/>
          <w:szCs w:val="24"/>
          <w:u w:val="single"/>
        </w:rPr>
        <w:t>de</w:t>
      </w:r>
      <w:proofErr w:type="gramEnd"/>
      <w:r w:rsidRPr="00437A05">
        <w:rPr>
          <w:rFonts w:ascii="Arial" w:hAnsi="Arial" w:cs="Arial"/>
          <w:b/>
          <w:sz w:val="24"/>
          <w:szCs w:val="24"/>
          <w:u w:val="single"/>
        </w:rPr>
        <w:t xml:space="preserve"> l'art L522-1 du CCH </w:t>
      </w:r>
    </w:p>
    <w:p w14:paraId="23769A0A" w14:textId="77777777" w:rsidR="00E264A0" w:rsidRPr="00437A05" w:rsidRDefault="00E264A0" w:rsidP="00E264A0">
      <w:pPr>
        <w:spacing w:after="120" w:line="240" w:lineRule="auto"/>
        <w:rPr>
          <w:rFonts w:ascii="Arial" w:hAnsi="Arial" w:cs="Arial"/>
          <w:b/>
          <w:sz w:val="24"/>
          <w:szCs w:val="24"/>
          <w:u w:val="single"/>
        </w:rPr>
      </w:pPr>
    </w:p>
    <w:p w14:paraId="180047BA" w14:textId="2A0501D5" w:rsidR="00E264A0" w:rsidRPr="00ED2883" w:rsidRDefault="009910CD" w:rsidP="00E264A0">
      <w:pPr>
        <w:spacing w:after="120" w:line="240" w:lineRule="auto"/>
        <w:rPr>
          <w:rFonts w:ascii="Arial" w:hAnsi="Arial" w:cs="Arial"/>
        </w:rPr>
      </w:pPr>
      <w:r w:rsidRPr="00ED2883">
        <w:rPr>
          <w:rFonts w:ascii="Arial" w:hAnsi="Arial" w:cs="Arial"/>
        </w:rPr>
        <w:t>Outre les</w:t>
      </w:r>
      <w:r w:rsidR="00E264A0" w:rsidRPr="00ED2883">
        <w:rPr>
          <w:rFonts w:ascii="Arial" w:hAnsi="Arial" w:cs="Arial"/>
        </w:rPr>
        <w:t xml:space="preserve"> dispositions introduites en </w:t>
      </w:r>
      <w:r w:rsidR="003B5D6A" w:rsidRPr="00ED2883">
        <w:rPr>
          <w:rFonts w:ascii="Arial" w:hAnsi="Arial" w:cs="Arial"/>
        </w:rPr>
        <w:t>matière de</w:t>
      </w:r>
      <w:r w:rsidR="00E264A0" w:rsidRPr="00ED2883">
        <w:rPr>
          <w:rFonts w:ascii="Arial" w:hAnsi="Arial" w:cs="Arial"/>
        </w:rPr>
        <w:t xml:space="preserve"> démolition </w:t>
      </w:r>
      <w:proofErr w:type="gramStart"/>
      <w:r w:rsidR="00E264A0" w:rsidRPr="00ED2883">
        <w:rPr>
          <w:rFonts w:ascii="Arial" w:hAnsi="Arial" w:cs="Arial"/>
        </w:rPr>
        <w:t>suite aux</w:t>
      </w:r>
      <w:proofErr w:type="gramEnd"/>
      <w:r w:rsidR="00E264A0" w:rsidRPr="00ED2883">
        <w:rPr>
          <w:rFonts w:ascii="Arial" w:hAnsi="Arial" w:cs="Arial"/>
        </w:rPr>
        <w:t xml:space="preserve"> arrêtés </w:t>
      </w:r>
      <w:r w:rsidR="007A7166" w:rsidRPr="00ED2883">
        <w:rPr>
          <w:rFonts w:ascii="Arial" w:hAnsi="Arial" w:cs="Arial"/>
        </w:rPr>
        <w:t>d’insalubrité ou</w:t>
      </w:r>
      <w:r w:rsidR="00E264A0" w:rsidRPr="00ED2883">
        <w:rPr>
          <w:rFonts w:ascii="Arial" w:hAnsi="Arial" w:cs="Arial"/>
        </w:rPr>
        <w:t xml:space="preserve"> de péril</w:t>
      </w:r>
      <w:r w:rsidR="007A7166">
        <w:rPr>
          <w:rFonts w:ascii="Arial" w:hAnsi="Arial" w:cs="Arial"/>
        </w:rPr>
        <w:t>/ insécurité</w:t>
      </w:r>
      <w:r w:rsidR="00E264A0" w:rsidRPr="00ED2883">
        <w:rPr>
          <w:rFonts w:ascii="Arial" w:hAnsi="Arial" w:cs="Arial"/>
        </w:rPr>
        <w:t xml:space="preserve"> vues ci-dessus, le nouvel </w:t>
      </w:r>
      <w:r w:rsidR="00E264A0" w:rsidRPr="00437A05">
        <w:rPr>
          <w:rFonts w:ascii="Arial" w:hAnsi="Arial" w:cs="Arial"/>
          <w:b/>
          <w:bCs/>
          <w:color w:val="7030A0"/>
        </w:rPr>
        <w:t xml:space="preserve">art L632-2-1 nouveau du code du </w:t>
      </w:r>
      <w:r w:rsidR="00437A05" w:rsidRPr="00437A05">
        <w:rPr>
          <w:rFonts w:ascii="Arial" w:hAnsi="Arial" w:cs="Arial"/>
          <w:b/>
          <w:bCs/>
          <w:color w:val="7030A0"/>
        </w:rPr>
        <w:t>patrimoine</w:t>
      </w:r>
      <w:r w:rsidR="00437A05" w:rsidRPr="00437A05">
        <w:rPr>
          <w:rFonts w:ascii="Arial" w:hAnsi="Arial" w:cs="Arial"/>
          <w:color w:val="7030A0"/>
        </w:rPr>
        <w:t xml:space="preserve"> </w:t>
      </w:r>
      <w:r w:rsidR="00437A05" w:rsidRPr="00ED2883">
        <w:rPr>
          <w:rFonts w:ascii="Arial" w:hAnsi="Arial" w:cs="Arial"/>
        </w:rPr>
        <w:t>en</w:t>
      </w:r>
      <w:r w:rsidR="00D3797C">
        <w:rPr>
          <w:rFonts w:ascii="Arial" w:hAnsi="Arial" w:cs="Arial"/>
        </w:rPr>
        <w:t xml:space="preserve"> son 2°) </w:t>
      </w:r>
      <w:r w:rsidR="00D3797C" w:rsidRPr="00ED2883">
        <w:rPr>
          <w:rFonts w:ascii="Arial" w:hAnsi="Arial" w:cs="Arial"/>
        </w:rPr>
        <w:t>a introduit</w:t>
      </w:r>
      <w:r w:rsidR="00E264A0" w:rsidRPr="00ED2883">
        <w:rPr>
          <w:rFonts w:ascii="Arial" w:hAnsi="Arial" w:cs="Arial"/>
        </w:rPr>
        <w:t xml:space="preserve"> une </w:t>
      </w:r>
      <w:r w:rsidR="00D3797C">
        <w:rPr>
          <w:rFonts w:ascii="Arial" w:hAnsi="Arial" w:cs="Arial"/>
        </w:rPr>
        <w:t xml:space="preserve">nouvelle </w:t>
      </w:r>
      <w:r w:rsidR="00E264A0" w:rsidRPr="00ED2883">
        <w:rPr>
          <w:rFonts w:ascii="Arial" w:hAnsi="Arial" w:cs="Arial"/>
        </w:rPr>
        <w:t xml:space="preserve">limitation </w:t>
      </w:r>
      <w:r w:rsidR="00D3797C">
        <w:rPr>
          <w:rFonts w:ascii="Arial" w:hAnsi="Arial" w:cs="Arial"/>
        </w:rPr>
        <w:t>de</w:t>
      </w:r>
      <w:r w:rsidR="007A7166">
        <w:rPr>
          <w:rFonts w:ascii="Arial" w:hAnsi="Arial" w:cs="Arial"/>
        </w:rPr>
        <w:t xml:space="preserve"> </w:t>
      </w:r>
      <w:r w:rsidR="00E264A0" w:rsidRPr="00ED2883">
        <w:rPr>
          <w:rFonts w:ascii="Arial" w:hAnsi="Arial" w:cs="Arial"/>
        </w:rPr>
        <w:t xml:space="preserve">la portée des avis ABF, </w:t>
      </w:r>
      <w:r w:rsidR="00971F6D" w:rsidRPr="00ED2883">
        <w:rPr>
          <w:rFonts w:ascii="Arial" w:hAnsi="Arial" w:cs="Arial"/>
        </w:rPr>
        <w:t xml:space="preserve">beaucoup plus pernicieuse, </w:t>
      </w:r>
      <w:r w:rsidR="00E264A0" w:rsidRPr="00ED2883">
        <w:rPr>
          <w:rFonts w:ascii="Arial" w:hAnsi="Arial" w:cs="Arial"/>
        </w:rPr>
        <w:t xml:space="preserve">ainsi libellée : </w:t>
      </w:r>
    </w:p>
    <w:p w14:paraId="5DCC7918" w14:textId="77777777" w:rsidR="00E264A0" w:rsidRPr="00437A05" w:rsidRDefault="00E264A0" w:rsidP="00E264A0">
      <w:pPr>
        <w:spacing w:after="120" w:line="240" w:lineRule="auto"/>
        <w:rPr>
          <w:rFonts w:ascii="Arial" w:hAnsi="Arial" w:cs="Arial"/>
          <w:color w:val="7030A0"/>
        </w:rPr>
      </w:pPr>
      <w:r w:rsidRPr="00437A05">
        <w:rPr>
          <w:rFonts w:ascii="Arial" w:hAnsi="Arial" w:cs="Arial"/>
          <w:color w:val="7030A0"/>
        </w:rPr>
        <w:t xml:space="preserve"> </w:t>
      </w:r>
      <w:r w:rsidR="009910CD" w:rsidRPr="00437A05">
        <w:rPr>
          <w:rFonts w:ascii="Arial" w:hAnsi="Arial" w:cs="Arial"/>
          <w:color w:val="7030A0"/>
        </w:rPr>
        <w:t>«</w:t>
      </w:r>
      <w:r w:rsidR="009910CD" w:rsidRPr="00437A05">
        <w:rPr>
          <w:rFonts w:ascii="Arial" w:hAnsi="Arial" w:cs="Arial"/>
          <w:i/>
          <w:iCs/>
          <w:color w:val="7030A0"/>
        </w:rPr>
        <w:t xml:space="preserve"> </w:t>
      </w:r>
      <w:proofErr w:type="gramStart"/>
      <w:r w:rsidR="009910CD" w:rsidRPr="00437A05">
        <w:rPr>
          <w:rFonts w:ascii="Arial" w:hAnsi="Arial" w:cs="Arial"/>
          <w:i/>
          <w:iCs/>
          <w:color w:val="7030A0"/>
        </w:rPr>
        <w:t>l’autorisation</w:t>
      </w:r>
      <w:r w:rsidRPr="00437A05">
        <w:rPr>
          <w:rFonts w:ascii="Arial" w:hAnsi="Arial" w:cs="Arial"/>
          <w:i/>
          <w:iCs/>
          <w:color w:val="7030A0"/>
        </w:rPr>
        <w:t xml:space="preserve"> ….</w:t>
      </w:r>
      <w:proofErr w:type="gramEnd"/>
      <w:r w:rsidRPr="00437A05">
        <w:rPr>
          <w:rFonts w:ascii="Arial" w:hAnsi="Arial" w:cs="Arial"/>
          <w:i/>
          <w:iCs/>
          <w:color w:val="7030A0"/>
        </w:rPr>
        <w:t xml:space="preserve">. est soumise à l'avis de l'architecte des Bâtiments de France lorsqu'elle porte sur : </w:t>
      </w:r>
    </w:p>
    <w:p w14:paraId="084E7559" w14:textId="77777777" w:rsidR="00E264A0" w:rsidRPr="00437A05" w:rsidRDefault="00E264A0" w:rsidP="00E264A0">
      <w:pPr>
        <w:spacing w:after="120" w:line="240" w:lineRule="auto"/>
        <w:rPr>
          <w:rFonts w:ascii="Arial" w:hAnsi="Arial" w:cs="Arial"/>
          <w:i/>
          <w:iCs/>
          <w:color w:val="7030A0"/>
        </w:rPr>
      </w:pPr>
      <w:r w:rsidRPr="00437A05">
        <w:rPr>
          <w:rFonts w:ascii="Arial" w:hAnsi="Arial" w:cs="Arial"/>
          <w:i/>
          <w:iCs/>
          <w:color w:val="7030A0"/>
        </w:rPr>
        <w:t xml:space="preserve">2° Des opérations mentionnées </w:t>
      </w:r>
      <w:r w:rsidR="009910CD" w:rsidRPr="00437A05">
        <w:rPr>
          <w:rFonts w:ascii="Arial" w:hAnsi="Arial" w:cs="Arial"/>
          <w:i/>
          <w:iCs/>
          <w:color w:val="7030A0"/>
        </w:rPr>
        <w:t>au second</w:t>
      </w:r>
      <w:r w:rsidRPr="00437A05">
        <w:rPr>
          <w:rFonts w:ascii="Arial" w:hAnsi="Arial" w:cs="Arial"/>
          <w:i/>
          <w:iCs/>
          <w:color w:val="7030A0"/>
        </w:rPr>
        <w:t xml:space="preserve"> alinéa de l’art L522-1 du CCH </w:t>
      </w:r>
    </w:p>
    <w:p w14:paraId="09DEE650" w14:textId="77777777" w:rsidR="009844E3" w:rsidRDefault="009844E3" w:rsidP="00D3797C">
      <w:pPr>
        <w:spacing w:after="120" w:line="240" w:lineRule="auto"/>
        <w:rPr>
          <w:rFonts w:ascii="Arial" w:hAnsi="Arial" w:cs="Arial"/>
          <w:b/>
          <w:bCs/>
          <w:i/>
          <w:iCs/>
        </w:rPr>
      </w:pPr>
    </w:p>
    <w:p w14:paraId="5A5C7B65" w14:textId="6B7886F9" w:rsidR="00D3797C" w:rsidRPr="00437A05" w:rsidRDefault="00D3797C" w:rsidP="00D3797C">
      <w:pPr>
        <w:spacing w:after="120" w:line="240" w:lineRule="auto"/>
        <w:rPr>
          <w:rFonts w:ascii="Arial" w:hAnsi="Arial" w:cs="Arial"/>
          <w:b/>
          <w:bCs/>
          <w:i/>
          <w:iCs/>
        </w:rPr>
      </w:pPr>
      <w:r w:rsidRPr="00437A05">
        <w:rPr>
          <w:rFonts w:ascii="Arial" w:hAnsi="Arial" w:cs="Arial"/>
          <w:b/>
          <w:bCs/>
          <w:i/>
          <w:iCs/>
        </w:rPr>
        <w:t xml:space="preserve">Cet article est particulièrement mal écrit et on peut même soutenir qu’il n’a aucune portée car les ABF ne sont jamais consultés sur les projets d’opération…ni sur les ZAC, lotissements ou même opérations de restauration immobilière, mais seulement sur des travaux (code de l’urbanisme)  </w:t>
      </w:r>
    </w:p>
    <w:p w14:paraId="44F892D3" w14:textId="22E642E4" w:rsidR="00E264A0" w:rsidRPr="00ED2883" w:rsidRDefault="00D3797C" w:rsidP="00E264A0">
      <w:pPr>
        <w:spacing w:after="120" w:line="240" w:lineRule="auto"/>
        <w:rPr>
          <w:rFonts w:ascii="Arial" w:hAnsi="Arial" w:cs="Arial"/>
        </w:rPr>
      </w:pPr>
      <w:r>
        <w:rPr>
          <w:rFonts w:ascii="Arial" w:hAnsi="Arial" w:cs="Arial"/>
        </w:rPr>
        <w:t xml:space="preserve">Il est interprété comme constituant un </w:t>
      </w:r>
      <w:r w:rsidR="00E264A0" w:rsidRPr="00ED2883">
        <w:rPr>
          <w:rFonts w:ascii="Arial" w:hAnsi="Arial" w:cs="Arial"/>
        </w:rPr>
        <w:t xml:space="preserve">avis simple pour tous travaux relevant de la DP, de la démolition, du PC ou du permis </w:t>
      </w:r>
      <w:r w:rsidR="009910CD" w:rsidRPr="00ED2883">
        <w:rPr>
          <w:rFonts w:ascii="Arial" w:hAnsi="Arial" w:cs="Arial"/>
        </w:rPr>
        <w:t xml:space="preserve">d’aménager </w:t>
      </w:r>
      <w:r w:rsidR="009910CD" w:rsidRPr="00D3797C">
        <w:rPr>
          <w:rFonts w:ascii="Arial" w:hAnsi="Arial" w:cs="Arial"/>
          <w:b/>
          <w:bCs/>
          <w:i/>
          <w:iCs/>
        </w:rPr>
        <w:t>dans</w:t>
      </w:r>
      <w:r w:rsidR="00E264A0" w:rsidRPr="00D3797C">
        <w:rPr>
          <w:rFonts w:ascii="Arial" w:hAnsi="Arial" w:cs="Arial"/>
          <w:b/>
          <w:bCs/>
          <w:i/>
          <w:iCs/>
        </w:rPr>
        <w:t xml:space="preserve"> lesdites opérations</w:t>
      </w:r>
      <w:r w:rsidR="00C8083D" w:rsidRPr="00ED2883">
        <w:rPr>
          <w:rFonts w:ascii="Arial" w:hAnsi="Arial" w:cs="Arial"/>
        </w:rPr>
        <w:t xml:space="preserve">, ce qui peut ouvrir un vaste champ </w:t>
      </w:r>
      <w:r w:rsidR="009910CD" w:rsidRPr="00ED2883">
        <w:rPr>
          <w:rFonts w:ascii="Arial" w:hAnsi="Arial" w:cs="Arial"/>
        </w:rPr>
        <w:t>opérationnel dans les quartiers historiques</w:t>
      </w:r>
      <w:r w:rsidR="00C8083D" w:rsidRPr="00ED2883">
        <w:rPr>
          <w:rFonts w:ascii="Arial" w:hAnsi="Arial" w:cs="Arial"/>
        </w:rPr>
        <w:t>…</w:t>
      </w:r>
      <w:r w:rsidR="00E264A0" w:rsidRPr="00ED2883">
        <w:rPr>
          <w:rFonts w:ascii="Arial" w:hAnsi="Arial" w:cs="Arial"/>
        </w:rPr>
        <w:t>.</w:t>
      </w:r>
    </w:p>
    <w:p w14:paraId="0F258B09" w14:textId="77777777" w:rsidR="00E264A0" w:rsidRPr="00ED2883" w:rsidRDefault="00E264A0" w:rsidP="00E264A0">
      <w:pPr>
        <w:spacing w:after="120" w:line="240" w:lineRule="auto"/>
        <w:rPr>
          <w:rFonts w:ascii="Arial" w:hAnsi="Arial" w:cs="Arial"/>
        </w:rPr>
      </w:pPr>
      <w:r w:rsidRPr="00D3797C">
        <w:rPr>
          <w:rFonts w:ascii="Arial" w:hAnsi="Arial" w:cs="Arial"/>
          <w:b/>
          <w:bCs/>
          <w:u w:val="single" w:color="000000" w:themeColor="text1"/>
        </w:rPr>
        <w:t>Or ces opérations ne sont définies nulle part à l’art L522-1 du CCH</w:t>
      </w:r>
      <w:r w:rsidRPr="003B5D6A">
        <w:rPr>
          <w:rFonts w:ascii="Arial" w:hAnsi="Arial" w:cs="Arial"/>
          <w:u w:val="single" w:color="000000" w:themeColor="text1"/>
        </w:rPr>
        <w:t xml:space="preserve"> </w:t>
      </w:r>
      <w:r w:rsidRPr="00ED2883">
        <w:rPr>
          <w:rFonts w:ascii="Arial" w:hAnsi="Arial" w:cs="Arial"/>
        </w:rPr>
        <w:t xml:space="preserve">dont le 1°) vise le financement par l’Etat de la résorption des bidonvilles et le 2°) vise « les autres opérations » </w:t>
      </w:r>
      <w:r w:rsidRPr="00ED2883">
        <w:rPr>
          <w:rFonts w:ascii="Arial" w:hAnsi="Arial" w:cs="Arial"/>
        </w:rPr>
        <w:lastRenderedPageBreak/>
        <w:t>dont un décret en CE doit définir les modalités de financement et la charge pour l’Etat, ce qui fut fait dans un décret relatif aux financements de l’ANAH.</w:t>
      </w:r>
      <w:r w:rsidR="00C8083D" w:rsidRPr="00ED2883">
        <w:rPr>
          <w:rFonts w:ascii="Arial" w:hAnsi="Arial" w:cs="Arial"/>
        </w:rPr>
        <w:t xml:space="preserve"> C’est donc un article financier qui ne contient ni ne suppose un contenu ayant des effets sur le droit des sols ou</w:t>
      </w:r>
      <w:r w:rsidR="005E417F">
        <w:rPr>
          <w:rFonts w:ascii="Arial" w:hAnsi="Arial" w:cs="Arial"/>
        </w:rPr>
        <w:t xml:space="preserve"> sur</w:t>
      </w:r>
      <w:r w:rsidR="00C8083D" w:rsidRPr="00ED2883">
        <w:rPr>
          <w:rFonts w:ascii="Arial" w:hAnsi="Arial" w:cs="Arial"/>
        </w:rPr>
        <w:t xml:space="preserve"> ceux du patrimoine</w:t>
      </w:r>
      <w:r w:rsidR="003B5D6A">
        <w:rPr>
          <w:rFonts w:ascii="Arial" w:hAnsi="Arial" w:cs="Arial"/>
        </w:rPr>
        <w:t xml:space="preserve">, lesdites </w:t>
      </w:r>
      <w:r w:rsidR="005E417F">
        <w:rPr>
          <w:rFonts w:ascii="Arial" w:hAnsi="Arial" w:cs="Arial"/>
        </w:rPr>
        <w:t>opérations n’étant définies nulle part</w:t>
      </w:r>
      <w:r w:rsidR="00C8083D" w:rsidRPr="00ED2883">
        <w:rPr>
          <w:rFonts w:ascii="Arial" w:hAnsi="Arial" w:cs="Arial"/>
        </w:rPr>
        <w:t>.</w:t>
      </w:r>
      <w:r w:rsidR="009910CD" w:rsidRPr="00ED2883">
        <w:rPr>
          <w:rFonts w:ascii="Arial" w:hAnsi="Arial" w:cs="Arial"/>
        </w:rPr>
        <w:t xml:space="preserve"> </w:t>
      </w:r>
    </w:p>
    <w:p w14:paraId="2E539EB4" w14:textId="3EBE074A" w:rsidR="00E264A0" w:rsidRPr="00ED2883" w:rsidRDefault="00E264A0" w:rsidP="00E264A0">
      <w:pPr>
        <w:spacing w:after="120" w:line="240" w:lineRule="auto"/>
        <w:rPr>
          <w:rFonts w:ascii="Arial" w:hAnsi="Arial" w:cs="Arial"/>
        </w:rPr>
      </w:pPr>
      <w:r w:rsidRPr="00ED2883">
        <w:rPr>
          <w:rFonts w:ascii="Arial" w:hAnsi="Arial" w:cs="Arial"/>
        </w:rPr>
        <w:t xml:space="preserve">Dans </w:t>
      </w:r>
      <w:r w:rsidR="00EC5F1A" w:rsidRPr="00ED2883">
        <w:rPr>
          <w:rFonts w:ascii="Arial" w:hAnsi="Arial" w:cs="Arial"/>
        </w:rPr>
        <w:t xml:space="preserve">l’étude d’impact de la loi ELAN, </w:t>
      </w:r>
      <w:r w:rsidRPr="00ED2883">
        <w:rPr>
          <w:rFonts w:ascii="Arial" w:hAnsi="Arial" w:cs="Arial"/>
        </w:rPr>
        <w:t xml:space="preserve">le gouvernement a </w:t>
      </w:r>
      <w:r w:rsidR="00EC5F1A" w:rsidRPr="00ED2883">
        <w:rPr>
          <w:rFonts w:ascii="Arial" w:hAnsi="Arial" w:cs="Arial"/>
        </w:rPr>
        <w:t xml:space="preserve">expliqué qu’étaient </w:t>
      </w:r>
      <w:r w:rsidRPr="00ED2883">
        <w:rPr>
          <w:rFonts w:ascii="Arial" w:hAnsi="Arial" w:cs="Arial"/>
        </w:rPr>
        <w:t>vis</w:t>
      </w:r>
      <w:r w:rsidR="00EC5F1A" w:rsidRPr="00ED2883">
        <w:rPr>
          <w:rFonts w:ascii="Arial" w:hAnsi="Arial" w:cs="Arial"/>
        </w:rPr>
        <w:t xml:space="preserve">ées </w:t>
      </w:r>
      <w:r w:rsidRPr="00ED2883">
        <w:rPr>
          <w:rFonts w:ascii="Arial" w:hAnsi="Arial" w:cs="Arial"/>
        </w:rPr>
        <w:t xml:space="preserve">les opérations de RHI et de THIRORI, telles que prévues par l’ANAH </w:t>
      </w:r>
      <w:r w:rsidR="009844E3">
        <w:rPr>
          <w:rFonts w:ascii="Arial" w:hAnsi="Arial" w:cs="Arial"/>
        </w:rPr>
        <w:t xml:space="preserve">… </w:t>
      </w:r>
      <w:r w:rsidRPr="00ED2883">
        <w:rPr>
          <w:rFonts w:ascii="Arial" w:hAnsi="Arial" w:cs="Arial"/>
        </w:rPr>
        <w:t>mais ces explicitations n’ont pas valeur de loi</w:t>
      </w:r>
      <w:r w:rsidR="00EC5F1A" w:rsidRPr="00ED2883">
        <w:rPr>
          <w:rFonts w:ascii="Arial" w:hAnsi="Arial" w:cs="Arial"/>
        </w:rPr>
        <w:t> !</w:t>
      </w:r>
      <w:r w:rsidR="00D3797C">
        <w:rPr>
          <w:rFonts w:ascii="Arial" w:hAnsi="Arial" w:cs="Arial"/>
        </w:rPr>
        <w:t xml:space="preserve"> </w:t>
      </w:r>
      <w:r w:rsidR="00D3797C" w:rsidRPr="009844E3">
        <w:rPr>
          <w:rFonts w:ascii="Arial" w:hAnsi="Arial" w:cs="Arial"/>
          <w:b/>
          <w:bCs/>
          <w:i/>
          <w:iCs/>
        </w:rPr>
        <w:t xml:space="preserve">De plus les RHI et THIRORI </w:t>
      </w:r>
      <w:r w:rsidR="00465009" w:rsidRPr="009844E3">
        <w:rPr>
          <w:rFonts w:ascii="Arial" w:hAnsi="Arial" w:cs="Arial"/>
          <w:b/>
          <w:bCs/>
          <w:i/>
          <w:iCs/>
        </w:rPr>
        <w:t xml:space="preserve">ne </w:t>
      </w:r>
      <w:r w:rsidR="00D3797C" w:rsidRPr="009844E3">
        <w:rPr>
          <w:rFonts w:ascii="Arial" w:hAnsi="Arial" w:cs="Arial"/>
          <w:b/>
          <w:bCs/>
          <w:i/>
          <w:iCs/>
        </w:rPr>
        <w:t xml:space="preserve">sont </w:t>
      </w:r>
      <w:r w:rsidR="00465009" w:rsidRPr="009844E3">
        <w:rPr>
          <w:rFonts w:ascii="Arial" w:hAnsi="Arial" w:cs="Arial"/>
          <w:b/>
          <w:bCs/>
          <w:i/>
          <w:iCs/>
        </w:rPr>
        <w:t xml:space="preserve">nullement des « opérations » au sens du code de l’urbanisme et de la jurisprudence, mais </w:t>
      </w:r>
      <w:r w:rsidR="00D3797C" w:rsidRPr="009844E3">
        <w:rPr>
          <w:rFonts w:ascii="Arial" w:hAnsi="Arial" w:cs="Arial"/>
          <w:b/>
          <w:bCs/>
          <w:i/>
          <w:iCs/>
        </w:rPr>
        <w:t xml:space="preserve">des mécanismes </w:t>
      </w:r>
      <w:r w:rsidR="00465009" w:rsidRPr="009844E3">
        <w:rPr>
          <w:rFonts w:ascii="Arial" w:hAnsi="Arial" w:cs="Arial"/>
          <w:b/>
          <w:bCs/>
          <w:i/>
          <w:iCs/>
        </w:rPr>
        <w:t>de financement de déficits fonciers</w:t>
      </w:r>
      <w:r w:rsidR="00465009">
        <w:rPr>
          <w:rFonts w:ascii="Arial" w:hAnsi="Arial" w:cs="Arial"/>
        </w:rPr>
        <w:t xml:space="preserve"> d’acquisition d’immeubles insalubres ou en péril</w:t>
      </w:r>
      <w:r w:rsidR="00465009">
        <w:rPr>
          <w:rStyle w:val="Appelnotedebasdep"/>
          <w:rFonts w:ascii="Arial" w:hAnsi="Arial" w:cs="Arial"/>
        </w:rPr>
        <w:footnoteReference w:id="10"/>
      </w:r>
      <w:r w:rsidR="00465009">
        <w:rPr>
          <w:rFonts w:ascii="Arial" w:hAnsi="Arial" w:cs="Arial"/>
        </w:rPr>
        <w:t xml:space="preserve">, lesquels peuvent faire l’objet de réhabilitation lourde ou de démolitions, partielles ou totales, selon le projet concret. Donc ces financements sont totalement indépendants du droit des autorisations et n’empêchent nullement le financement de travaux lourds de confortement d’immeubles que l’on ne veut </w:t>
      </w:r>
      <w:r w:rsidR="00D722B7">
        <w:rPr>
          <w:rFonts w:ascii="Arial" w:hAnsi="Arial" w:cs="Arial"/>
        </w:rPr>
        <w:t xml:space="preserve">ou peut </w:t>
      </w:r>
      <w:r w:rsidR="00465009">
        <w:rPr>
          <w:rFonts w:ascii="Arial" w:hAnsi="Arial" w:cs="Arial"/>
        </w:rPr>
        <w:t>démolir.</w:t>
      </w:r>
    </w:p>
    <w:p w14:paraId="58FC2F57" w14:textId="77777777" w:rsidR="00F075DB" w:rsidRPr="00ED2883" w:rsidRDefault="00627FCA" w:rsidP="00E264A0">
      <w:pPr>
        <w:spacing w:after="120" w:line="240" w:lineRule="auto"/>
        <w:rPr>
          <w:rFonts w:ascii="Arial" w:hAnsi="Arial" w:cs="Arial"/>
        </w:rPr>
      </w:pPr>
      <w:r w:rsidRPr="009844E3">
        <w:rPr>
          <w:rFonts w:ascii="Arial" w:hAnsi="Arial" w:cs="Arial"/>
          <w:b/>
          <w:bCs/>
          <w:color w:val="7030A0"/>
        </w:rPr>
        <w:t xml:space="preserve">Le R321-12 </w:t>
      </w:r>
      <w:r w:rsidR="00F075DB" w:rsidRPr="009844E3">
        <w:rPr>
          <w:rFonts w:ascii="Arial" w:hAnsi="Arial" w:cs="Arial"/>
          <w:b/>
          <w:bCs/>
          <w:color w:val="7030A0"/>
        </w:rPr>
        <w:t>CCH</w:t>
      </w:r>
      <w:r w:rsidR="00F075DB" w:rsidRPr="009844E3">
        <w:rPr>
          <w:rFonts w:ascii="Arial" w:hAnsi="Arial" w:cs="Arial"/>
          <w:color w:val="7030A0"/>
        </w:rPr>
        <w:t xml:space="preserve"> </w:t>
      </w:r>
      <w:r w:rsidR="00F075DB" w:rsidRPr="00ED2883">
        <w:rPr>
          <w:rFonts w:ascii="Arial" w:hAnsi="Arial" w:cs="Arial"/>
        </w:rPr>
        <w:t xml:space="preserve">relatif aux </w:t>
      </w:r>
      <w:r w:rsidR="00B16557" w:rsidRPr="00ED2883">
        <w:rPr>
          <w:rFonts w:ascii="Arial" w:hAnsi="Arial" w:cs="Arial"/>
        </w:rPr>
        <w:t xml:space="preserve">subventions </w:t>
      </w:r>
      <w:r w:rsidR="00F075DB" w:rsidRPr="00ED2883">
        <w:rPr>
          <w:rFonts w:ascii="Arial" w:hAnsi="Arial" w:cs="Arial"/>
        </w:rPr>
        <w:t>de l’ANAH dispose</w:t>
      </w:r>
      <w:r w:rsidRPr="00ED2883">
        <w:rPr>
          <w:rFonts w:ascii="Arial" w:hAnsi="Arial" w:cs="Arial"/>
        </w:rPr>
        <w:t>, dans son IV que</w:t>
      </w:r>
      <w:r w:rsidR="00F075DB" w:rsidRPr="00ED2883">
        <w:rPr>
          <w:rFonts w:ascii="Arial" w:hAnsi="Arial" w:cs="Arial"/>
        </w:rPr>
        <w:t> :</w:t>
      </w:r>
    </w:p>
    <w:p w14:paraId="5DB0EF2D" w14:textId="77777777" w:rsidR="00627FCA" w:rsidRPr="009844E3" w:rsidRDefault="00627FCA" w:rsidP="00E264A0">
      <w:pPr>
        <w:spacing w:after="120" w:line="240" w:lineRule="auto"/>
        <w:rPr>
          <w:rFonts w:ascii="Arial" w:hAnsi="Arial" w:cs="Arial"/>
          <w:i/>
          <w:iCs/>
          <w:color w:val="7030A0"/>
          <w:shd w:val="clear" w:color="auto" w:fill="FFFFFF"/>
        </w:rPr>
      </w:pPr>
      <w:r w:rsidRPr="009844E3">
        <w:rPr>
          <w:rFonts w:ascii="Arial" w:hAnsi="Arial" w:cs="Arial"/>
          <w:i/>
          <w:iCs/>
          <w:color w:val="7030A0"/>
          <w:shd w:val="clear" w:color="auto" w:fill="FFFFFF"/>
        </w:rPr>
        <w:t xml:space="preserve">IV.- L'agence peut accorder aux collectivités territoriales, à leurs groupements, </w:t>
      </w:r>
      <w:r w:rsidR="009910CD" w:rsidRPr="009844E3">
        <w:rPr>
          <w:rFonts w:ascii="Arial" w:hAnsi="Arial" w:cs="Arial"/>
          <w:i/>
          <w:iCs/>
          <w:color w:val="7030A0"/>
          <w:shd w:val="clear" w:color="auto" w:fill="FFFFFF"/>
        </w:rPr>
        <w:t>…..</w:t>
      </w:r>
      <w:r w:rsidRPr="009844E3">
        <w:rPr>
          <w:rFonts w:ascii="Arial" w:hAnsi="Arial" w:cs="Arial"/>
          <w:i/>
          <w:iCs/>
          <w:color w:val="7030A0"/>
          <w:shd w:val="clear" w:color="auto" w:fill="FFFFFF"/>
        </w:rPr>
        <w:t>, et à tout organisme ayant vocation à être bénéficiaire de l'expropriation ainsi qu'aux concessionnaires des opérations d'aménagement mentionnées à l'</w:t>
      </w:r>
      <w:hyperlink r:id="rId10" w:history="1">
        <w:r w:rsidRPr="009844E3">
          <w:rPr>
            <w:rStyle w:val="Lienhypertexte"/>
            <w:rFonts w:ascii="Arial" w:hAnsi="Arial" w:cs="Arial"/>
            <w:i/>
            <w:iCs/>
            <w:color w:val="7030A0"/>
            <w:u w:val="none"/>
            <w:shd w:val="clear" w:color="auto" w:fill="FFFFFF"/>
          </w:rPr>
          <w:t>article L.300-4 du code de l'urbanisme</w:t>
        </w:r>
      </w:hyperlink>
      <w:r w:rsidRPr="009844E3">
        <w:rPr>
          <w:rFonts w:ascii="Arial" w:hAnsi="Arial" w:cs="Arial"/>
          <w:i/>
          <w:iCs/>
          <w:color w:val="7030A0"/>
          <w:shd w:val="clear" w:color="auto" w:fill="FFFFFF"/>
        </w:rPr>
        <w:t xml:space="preserve">, des subventions pour la réalisation d'opérations visées à </w:t>
      </w:r>
      <w:r w:rsidRPr="009844E3">
        <w:rPr>
          <w:rFonts w:ascii="Arial" w:hAnsi="Arial" w:cs="Arial"/>
          <w:i/>
          <w:iCs/>
          <w:color w:val="7030A0"/>
          <w:u w:val="single"/>
          <w:shd w:val="clear" w:color="auto" w:fill="FFFFFF"/>
        </w:rPr>
        <w:t>l'article </w:t>
      </w:r>
      <w:hyperlink r:id="rId11" w:history="1">
        <w:r w:rsidRPr="009844E3">
          <w:rPr>
            <w:rStyle w:val="Lienhypertexte"/>
            <w:rFonts w:ascii="Arial" w:hAnsi="Arial" w:cs="Arial"/>
            <w:i/>
            <w:iCs/>
            <w:color w:val="7030A0"/>
            <w:shd w:val="clear" w:color="auto" w:fill="FFFFFF"/>
          </w:rPr>
          <w:t>L.522-1</w:t>
        </w:r>
      </w:hyperlink>
      <w:r w:rsidRPr="009844E3">
        <w:rPr>
          <w:rFonts w:ascii="Arial" w:hAnsi="Arial" w:cs="Arial"/>
          <w:i/>
          <w:iCs/>
          <w:color w:val="7030A0"/>
          <w:u w:val="single"/>
          <w:shd w:val="clear" w:color="auto" w:fill="FFFFFF"/>
        </w:rPr>
        <w:t>,</w:t>
      </w:r>
      <w:r w:rsidRPr="009844E3">
        <w:rPr>
          <w:rFonts w:ascii="Arial" w:hAnsi="Arial" w:cs="Arial"/>
          <w:i/>
          <w:iCs/>
          <w:color w:val="7030A0"/>
          <w:shd w:val="clear" w:color="auto" w:fill="FFFFFF"/>
        </w:rPr>
        <w:t xml:space="preserve"> alinéa 2.</w:t>
      </w:r>
    </w:p>
    <w:p w14:paraId="67D471A1" w14:textId="77777777" w:rsidR="002D3281" w:rsidRPr="00ED2883" w:rsidRDefault="002D3281" w:rsidP="00E264A0">
      <w:pPr>
        <w:spacing w:after="120" w:line="240" w:lineRule="auto"/>
        <w:rPr>
          <w:rFonts w:ascii="Arial" w:hAnsi="Arial" w:cs="Arial"/>
          <w:color w:val="000000"/>
          <w:shd w:val="clear" w:color="auto" w:fill="FFFFFF"/>
        </w:rPr>
      </w:pPr>
      <w:r w:rsidRPr="00ED2883">
        <w:rPr>
          <w:rFonts w:ascii="Arial" w:hAnsi="Arial" w:cs="Arial"/>
          <w:color w:val="000000"/>
          <w:shd w:val="clear" w:color="auto" w:fill="FFFFFF"/>
        </w:rPr>
        <w:t xml:space="preserve">Donc cet article fait référence </w:t>
      </w:r>
      <w:r w:rsidR="00083B81" w:rsidRPr="00ED2883">
        <w:rPr>
          <w:rFonts w:ascii="Arial" w:hAnsi="Arial" w:cs="Arial"/>
          <w:color w:val="000000"/>
          <w:shd w:val="clear" w:color="auto" w:fill="FFFFFF"/>
        </w:rPr>
        <w:t>à</w:t>
      </w:r>
      <w:r w:rsidRPr="00ED2883">
        <w:rPr>
          <w:rFonts w:ascii="Arial" w:hAnsi="Arial" w:cs="Arial"/>
          <w:color w:val="000000"/>
          <w:shd w:val="clear" w:color="auto" w:fill="FFFFFF"/>
        </w:rPr>
        <w:t xml:space="preserve"> des opérations toujours non définies et ne les définit pas…</w:t>
      </w:r>
    </w:p>
    <w:p w14:paraId="5C1816FC" w14:textId="7C5F1319" w:rsidR="007E50E0" w:rsidRPr="00ED2883" w:rsidRDefault="007E50E0" w:rsidP="007E50E0">
      <w:pPr>
        <w:pStyle w:val="name-article"/>
        <w:shd w:val="clear" w:color="auto" w:fill="FFFFFF"/>
        <w:spacing w:before="0" w:beforeAutospacing="0" w:after="240" w:afterAutospacing="0"/>
        <w:rPr>
          <w:rFonts w:ascii="Arial" w:hAnsi="Arial" w:cs="Arial"/>
          <w:sz w:val="22"/>
          <w:szCs w:val="22"/>
        </w:rPr>
      </w:pPr>
      <w:r w:rsidRPr="009844E3">
        <w:rPr>
          <w:rFonts w:ascii="Arial" w:hAnsi="Arial" w:cs="Arial"/>
          <w:b/>
          <w:bCs/>
          <w:color w:val="7030A0"/>
          <w:sz w:val="22"/>
          <w:szCs w:val="22"/>
        </w:rPr>
        <w:t>L’</w:t>
      </w:r>
      <w:hyperlink r:id="rId12" w:history="1">
        <w:r w:rsidRPr="009844E3">
          <w:rPr>
            <w:rStyle w:val="Lienhypertexte"/>
            <w:rFonts w:ascii="Arial" w:hAnsi="Arial" w:cs="Arial"/>
            <w:b/>
            <w:bCs/>
            <w:color w:val="7030A0"/>
            <w:sz w:val="22"/>
            <w:szCs w:val="22"/>
            <w:u w:val="none"/>
          </w:rPr>
          <w:t>article D522-1</w:t>
        </w:r>
      </w:hyperlink>
      <w:r w:rsidRPr="00ED2883">
        <w:rPr>
          <w:rFonts w:ascii="Arial" w:hAnsi="Arial" w:cs="Arial"/>
          <w:sz w:val="22"/>
          <w:szCs w:val="22"/>
        </w:rPr>
        <w:t xml:space="preserve"> </w:t>
      </w:r>
      <w:r w:rsidR="009844E3" w:rsidRPr="009844E3">
        <w:rPr>
          <w:rFonts w:ascii="Arial" w:hAnsi="Arial" w:cs="Arial"/>
          <w:b/>
          <w:bCs/>
          <w:color w:val="7030A0"/>
          <w:sz w:val="22"/>
          <w:szCs w:val="22"/>
        </w:rPr>
        <w:t>du CCH</w:t>
      </w:r>
      <w:r w:rsidR="009844E3" w:rsidRPr="009844E3">
        <w:rPr>
          <w:rFonts w:ascii="Arial" w:hAnsi="Arial" w:cs="Arial"/>
          <w:color w:val="7030A0"/>
          <w:sz w:val="22"/>
          <w:szCs w:val="22"/>
        </w:rPr>
        <w:t xml:space="preserve"> </w:t>
      </w:r>
      <w:r w:rsidR="009910CD" w:rsidRPr="00ED2883">
        <w:rPr>
          <w:rFonts w:ascii="Arial" w:hAnsi="Arial" w:cs="Arial"/>
          <w:sz w:val="22"/>
          <w:szCs w:val="22"/>
        </w:rPr>
        <w:t>n’</w:t>
      </w:r>
      <w:r w:rsidRPr="00ED2883">
        <w:rPr>
          <w:rFonts w:ascii="Arial" w:hAnsi="Arial" w:cs="Arial"/>
          <w:sz w:val="22"/>
          <w:szCs w:val="22"/>
        </w:rPr>
        <w:t xml:space="preserve">est </w:t>
      </w:r>
      <w:r w:rsidR="009910CD" w:rsidRPr="00ED2883">
        <w:rPr>
          <w:rFonts w:ascii="Arial" w:hAnsi="Arial" w:cs="Arial"/>
          <w:sz w:val="22"/>
          <w:szCs w:val="22"/>
        </w:rPr>
        <w:t xml:space="preserve">pas </w:t>
      </w:r>
      <w:r w:rsidRPr="00ED2883">
        <w:rPr>
          <w:rFonts w:ascii="Arial" w:hAnsi="Arial" w:cs="Arial"/>
          <w:sz w:val="22"/>
          <w:szCs w:val="22"/>
        </w:rPr>
        <w:t xml:space="preserve">plus </w:t>
      </w:r>
      <w:r w:rsidR="009910CD" w:rsidRPr="00ED2883">
        <w:rPr>
          <w:rFonts w:ascii="Arial" w:hAnsi="Arial" w:cs="Arial"/>
          <w:sz w:val="22"/>
          <w:szCs w:val="22"/>
        </w:rPr>
        <w:t>précis ;</w:t>
      </w:r>
      <w:r w:rsidRPr="00ED2883">
        <w:rPr>
          <w:rFonts w:ascii="Arial" w:hAnsi="Arial" w:cs="Arial"/>
          <w:sz w:val="22"/>
          <w:szCs w:val="22"/>
        </w:rPr>
        <w:t xml:space="preserve"> il dispose que :</w:t>
      </w:r>
    </w:p>
    <w:p w14:paraId="2336B829" w14:textId="77777777" w:rsidR="007E50E0" w:rsidRPr="009844E3" w:rsidRDefault="007E50E0" w:rsidP="007E50E0">
      <w:pPr>
        <w:pStyle w:val="NormalWeb"/>
        <w:shd w:val="clear" w:color="auto" w:fill="FFFFFF"/>
        <w:spacing w:before="0" w:beforeAutospacing="0" w:after="240" w:afterAutospacing="0"/>
        <w:rPr>
          <w:rFonts w:ascii="Arial" w:hAnsi="Arial" w:cs="Arial"/>
          <w:i/>
          <w:iCs/>
          <w:color w:val="7030A0"/>
          <w:sz w:val="22"/>
          <w:szCs w:val="22"/>
        </w:rPr>
      </w:pPr>
      <w:r w:rsidRPr="009844E3">
        <w:rPr>
          <w:rFonts w:ascii="Arial" w:hAnsi="Arial" w:cs="Arial"/>
          <w:i/>
          <w:iCs/>
          <w:color w:val="7030A0"/>
          <w:sz w:val="22"/>
          <w:szCs w:val="22"/>
        </w:rPr>
        <w:t>« Les opérations mentionnées au deuxième alinéa de l'article </w:t>
      </w:r>
      <w:hyperlink r:id="rId13" w:history="1">
        <w:r w:rsidRPr="009844E3">
          <w:rPr>
            <w:rStyle w:val="Lienhypertexte"/>
            <w:rFonts w:ascii="Arial" w:hAnsi="Arial" w:cs="Arial"/>
            <w:i/>
            <w:iCs/>
            <w:color w:val="7030A0"/>
            <w:sz w:val="22"/>
            <w:szCs w:val="22"/>
            <w:u w:val="none"/>
          </w:rPr>
          <w:t>L.522-1</w:t>
        </w:r>
      </w:hyperlink>
      <w:r w:rsidRPr="009844E3">
        <w:rPr>
          <w:rFonts w:ascii="Arial" w:hAnsi="Arial" w:cs="Arial"/>
          <w:i/>
          <w:iCs/>
          <w:color w:val="7030A0"/>
          <w:sz w:val="22"/>
          <w:szCs w:val="22"/>
        </w:rPr>
        <w:t>, que les collectivités locales et établissements publics réalisent directement ou font réaliser par une personne morale en vertu d'une convention, bénéficient d'une subvention de l'Etat ou de l'Agence nationale de l'habitat. »</w:t>
      </w:r>
    </w:p>
    <w:p w14:paraId="0543C4FB" w14:textId="77777777" w:rsidR="007E50E0" w:rsidRPr="00ED2883" w:rsidRDefault="007E50E0" w:rsidP="007E50E0">
      <w:pPr>
        <w:pStyle w:val="NormalWeb"/>
        <w:shd w:val="clear" w:color="auto" w:fill="FFFFFF"/>
        <w:spacing w:before="0" w:beforeAutospacing="0" w:after="240" w:afterAutospacing="0"/>
        <w:rPr>
          <w:rFonts w:ascii="Arial" w:hAnsi="Arial" w:cs="Arial"/>
          <w:i/>
          <w:iCs/>
          <w:color w:val="000000"/>
          <w:sz w:val="22"/>
          <w:szCs w:val="22"/>
        </w:rPr>
      </w:pPr>
      <w:r w:rsidRPr="00ED2883">
        <w:rPr>
          <w:rFonts w:ascii="Arial" w:hAnsi="Arial" w:cs="Arial"/>
          <w:color w:val="000000"/>
          <w:sz w:val="22"/>
          <w:szCs w:val="22"/>
          <w:shd w:val="clear" w:color="auto" w:fill="FFFFFF"/>
        </w:rPr>
        <w:t>Cet article fait aussi référence à des opérations toujours non définies.</w:t>
      </w:r>
    </w:p>
    <w:p w14:paraId="13E87A9F" w14:textId="63E4DD2A" w:rsidR="00BB2F71" w:rsidRPr="00ED2883" w:rsidRDefault="00BB2F71" w:rsidP="00BB2F71">
      <w:pPr>
        <w:pStyle w:val="name-article"/>
        <w:shd w:val="clear" w:color="auto" w:fill="FFFFFF"/>
        <w:spacing w:before="0" w:beforeAutospacing="0" w:after="240" w:afterAutospacing="0"/>
        <w:rPr>
          <w:rFonts w:ascii="Arial" w:hAnsi="Arial" w:cs="Arial"/>
          <w:sz w:val="22"/>
          <w:szCs w:val="22"/>
        </w:rPr>
      </w:pPr>
      <w:r w:rsidRPr="009844E3">
        <w:rPr>
          <w:rFonts w:ascii="Arial" w:hAnsi="Arial" w:cs="Arial"/>
          <w:b/>
          <w:bCs/>
          <w:color w:val="7030A0"/>
          <w:sz w:val="22"/>
          <w:szCs w:val="22"/>
        </w:rPr>
        <w:t>L’</w:t>
      </w:r>
      <w:hyperlink r:id="rId14" w:history="1">
        <w:r w:rsidRPr="009844E3">
          <w:rPr>
            <w:rStyle w:val="Lienhypertexte"/>
            <w:rFonts w:ascii="Arial" w:hAnsi="Arial" w:cs="Arial"/>
            <w:b/>
            <w:bCs/>
            <w:color w:val="7030A0"/>
            <w:sz w:val="22"/>
            <w:szCs w:val="22"/>
            <w:u w:val="none"/>
          </w:rPr>
          <w:t>article R522-4</w:t>
        </w:r>
      </w:hyperlink>
      <w:r w:rsidRPr="00ED2883">
        <w:rPr>
          <w:rFonts w:ascii="Arial" w:hAnsi="Arial" w:cs="Arial"/>
          <w:sz w:val="22"/>
          <w:szCs w:val="22"/>
        </w:rPr>
        <w:t xml:space="preserve"> </w:t>
      </w:r>
      <w:r w:rsidR="009844E3" w:rsidRPr="009844E3">
        <w:rPr>
          <w:rFonts w:ascii="Arial" w:hAnsi="Arial" w:cs="Arial"/>
          <w:b/>
          <w:bCs/>
          <w:color w:val="7030A0"/>
          <w:sz w:val="22"/>
          <w:szCs w:val="22"/>
        </w:rPr>
        <w:t>du CCH</w:t>
      </w:r>
      <w:r w:rsidR="009844E3" w:rsidRPr="009844E3">
        <w:rPr>
          <w:rFonts w:ascii="Arial" w:hAnsi="Arial" w:cs="Arial"/>
          <w:color w:val="7030A0"/>
          <w:sz w:val="22"/>
          <w:szCs w:val="22"/>
        </w:rPr>
        <w:t xml:space="preserve"> </w:t>
      </w:r>
      <w:r w:rsidRPr="00ED2883">
        <w:rPr>
          <w:rFonts w:ascii="Arial" w:hAnsi="Arial" w:cs="Arial"/>
          <w:sz w:val="22"/>
          <w:szCs w:val="22"/>
        </w:rPr>
        <w:t>précise les objectifs des opérations visées, toujours non définies :</w:t>
      </w:r>
    </w:p>
    <w:p w14:paraId="58B4EA65" w14:textId="77777777" w:rsidR="00BB2F71" w:rsidRPr="009844E3" w:rsidRDefault="00BB2F71" w:rsidP="00BB2F71">
      <w:pPr>
        <w:pStyle w:val="NormalWeb"/>
        <w:shd w:val="clear" w:color="auto" w:fill="FFFFFF"/>
        <w:spacing w:before="0" w:beforeAutospacing="0" w:after="240" w:afterAutospacing="0"/>
        <w:rPr>
          <w:rFonts w:ascii="Arial" w:hAnsi="Arial" w:cs="Arial"/>
          <w:i/>
          <w:iCs/>
          <w:color w:val="7030A0"/>
          <w:sz w:val="22"/>
          <w:szCs w:val="22"/>
        </w:rPr>
      </w:pPr>
      <w:r w:rsidRPr="009844E3">
        <w:rPr>
          <w:rFonts w:ascii="Arial" w:hAnsi="Arial" w:cs="Arial"/>
          <w:i/>
          <w:iCs/>
          <w:color w:val="7030A0"/>
          <w:sz w:val="22"/>
          <w:szCs w:val="22"/>
        </w:rPr>
        <w:t>« Les opérations, mentionnées à l'article </w:t>
      </w:r>
      <w:hyperlink r:id="rId15" w:tooltip="Code de la construction et de l" w:history="1">
        <w:r w:rsidRPr="009844E3">
          <w:rPr>
            <w:rStyle w:val="Lienhypertexte"/>
            <w:rFonts w:ascii="Arial" w:hAnsi="Arial" w:cs="Arial"/>
            <w:i/>
            <w:iCs/>
            <w:color w:val="7030A0"/>
            <w:sz w:val="22"/>
            <w:szCs w:val="22"/>
          </w:rPr>
          <w:t>L.522-1</w:t>
        </w:r>
      </w:hyperlink>
      <w:r w:rsidRPr="009844E3">
        <w:rPr>
          <w:rFonts w:ascii="Arial" w:hAnsi="Arial" w:cs="Arial"/>
          <w:i/>
          <w:iCs/>
          <w:color w:val="7030A0"/>
          <w:sz w:val="22"/>
          <w:szCs w:val="22"/>
        </w:rPr>
        <w:t>, sont éligibles à des subventions versées par l'Etat ou l'Agence nationale de l'habitat, lorsqu'elles sont destinées prioritairement à la production de logements dans un objectif de mixité sociale ou à la constitution de réserves foncières destinées, pour un pourcentage de 80 % de la surface de plancher, à la production de logements dans un objectif de mixité sociale. » ….</w:t>
      </w:r>
    </w:p>
    <w:p w14:paraId="2F910D38" w14:textId="77777777" w:rsidR="002D3281" w:rsidRPr="00ED2883" w:rsidRDefault="002D3281" w:rsidP="002D3281">
      <w:pPr>
        <w:shd w:val="clear" w:color="auto" w:fill="FFFFFF"/>
        <w:spacing w:after="120" w:line="240" w:lineRule="auto"/>
        <w:outlineLvl w:val="1"/>
        <w:rPr>
          <w:rFonts w:ascii="Arial" w:eastAsia="Times New Roman" w:hAnsi="Arial" w:cs="Arial"/>
          <w:lang w:eastAsia="fr-FR"/>
        </w:rPr>
      </w:pPr>
      <w:r w:rsidRPr="00ED2883">
        <w:rPr>
          <w:rFonts w:ascii="Arial" w:eastAsia="Times New Roman" w:hAnsi="Arial" w:cs="Arial"/>
          <w:lang w:eastAsia="fr-FR"/>
        </w:rPr>
        <w:t>Qu’en est-il des autres articles utiles relatifs aux missions de l’ANAH ?</w:t>
      </w:r>
      <w:r w:rsidR="00AA6437" w:rsidRPr="00ED2883">
        <w:rPr>
          <w:rFonts w:ascii="Arial" w:eastAsia="Times New Roman" w:hAnsi="Arial" w:cs="Arial"/>
          <w:lang w:eastAsia="fr-FR"/>
        </w:rPr>
        <w:t xml:space="preserve"> Ils sont strictement à objectif financier </w:t>
      </w:r>
      <w:r w:rsidR="00AA6437" w:rsidRPr="00ED2883">
        <w:rPr>
          <w:rFonts w:ascii="Arial" w:eastAsia="Times New Roman" w:hAnsi="Arial" w:cs="Arial"/>
          <w:u w:val="single"/>
          <w:lang w:eastAsia="fr-FR"/>
        </w:rPr>
        <w:t xml:space="preserve">et ne font </w:t>
      </w:r>
      <w:r w:rsidR="009910CD" w:rsidRPr="00ED2883">
        <w:rPr>
          <w:rFonts w:ascii="Arial" w:eastAsia="Times New Roman" w:hAnsi="Arial" w:cs="Arial"/>
          <w:u w:val="single"/>
          <w:lang w:eastAsia="fr-FR"/>
        </w:rPr>
        <w:t xml:space="preserve">plus </w:t>
      </w:r>
      <w:r w:rsidR="00AA6437" w:rsidRPr="00ED2883">
        <w:rPr>
          <w:rFonts w:ascii="Arial" w:eastAsia="Times New Roman" w:hAnsi="Arial" w:cs="Arial"/>
          <w:u w:val="single"/>
          <w:lang w:eastAsia="fr-FR"/>
        </w:rPr>
        <w:t>aucune référence au L522-1</w:t>
      </w:r>
      <w:r w:rsidR="00AA6437" w:rsidRPr="00ED2883">
        <w:rPr>
          <w:rFonts w:ascii="Arial" w:eastAsia="Times New Roman" w:hAnsi="Arial" w:cs="Arial"/>
          <w:lang w:eastAsia="fr-FR"/>
        </w:rPr>
        <w:t xml:space="preserve"> évoqué.</w:t>
      </w:r>
    </w:p>
    <w:p w14:paraId="6AB4DFBA" w14:textId="77777777" w:rsidR="002D3281" w:rsidRPr="00ED2883" w:rsidRDefault="002D3281" w:rsidP="002D3281">
      <w:pPr>
        <w:shd w:val="clear" w:color="auto" w:fill="FFFFFF"/>
        <w:spacing w:after="120" w:line="240" w:lineRule="auto"/>
        <w:outlineLvl w:val="1"/>
        <w:rPr>
          <w:rFonts w:ascii="Arial" w:eastAsia="Times New Roman" w:hAnsi="Arial" w:cs="Arial"/>
          <w:lang w:eastAsia="fr-FR"/>
        </w:rPr>
      </w:pPr>
      <w:r w:rsidRPr="009844E3">
        <w:rPr>
          <w:rFonts w:ascii="Arial" w:eastAsia="Times New Roman" w:hAnsi="Arial" w:cs="Arial"/>
          <w:b/>
          <w:bCs/>
          <w:color w:val="7030A0"/>
          <w:lang w:eastAsia="fr-FR"/>
        </w:rPr>
        <w:t>L’article R523-1 du CCH</w:t>
      </w:r>
      <w:r w:rsidRPr="009844E3">
        <w:rPr>
          <w:rFonts w:ascii="Arial" w:eastAsia="Times New Roman" w:hAnsi="Arial" w:cs="Arial"/>
          <w:color w:val="7030A0"/>
          <w:lang w:eastAsia="fr-FR"/>
        </w:rPr>
        <w:t xml:space="preserve"> </w:t>
      </w:r>
      <w:r w:rsidRPr="00ED2883">
        <w:rPr>
          <w:rFonts w:ascii="Arial" w:eastAsia="Times New Roman" w:hAnsi="Arial" w:cs="Arial"/>
          <w:lang w:eastAsia="fr-FR"/>
        </w:rPr>
        <w:t xml:space="preserve">dispose que : </w:t>
      </w:r>
    </w:p>
    <w:p w14:paraId="37F7E03A" w14:textId="77777777" w:rsidR="002D3281" w:rsidRPr="009844E3" w:rsidRDefault="002D3281" w:rsidP="002D3281">
      <w:pPr>
        <w:shd w:val="clear" w:color="auto" w:fill="FFFFFF"/>
        <w:spacing w:after="240" w:line="240" w:lineRule="auto"/>
        <w:rPr>
          <w:rFonts w:ascii="Arial" w:eastAsia="Times New Roman" w:hAnsi="Arial" w:cs="Arial"/>
          <w:i/>
          <w:iCs/>
          <w:color w:val="7030A0"/>
          <w:lang w:eastAsia="fr-FR"/>
        </w:rPr>
      </w:pPr>
      <w:r w:rsidRPr="009844E3">
        <w:rPr>
          <w:rFonts w:ascii="Arial" w:eastAsia="Times New Roman" w:hAnsi="Arial" w:cs="Arial"/>
          <w:i/>
          <w:iCs/>
          <w:color w:val="7030A0"/>
          <w:lang w:eastAsia="fr-FR"/>
        </w:rPr>
        <w:t>« Les opérations de traitement, par appropriation publique, d'immeubles faisant l'objet d'un arrêté de mise en sécurité ou de traitement de l'insalubrité pris en application des 1° et 4° de l'article L.511-2, ………ainsi que les mesures prises en application de l'article L.511-19, et ne prescrivant pas la démolition ou l'interdiction définitive d'habiter ou de prescriptions en application de l'article L.123-3 peuvent bénéficier, après avis de la commission prévue à l'article R. 321-6-4, d'une subvention de l'Agence nationale de l'habitat selon des modalités prévues par son règlement général</w:t>
      </w:r>
      <w:r w:rsidR="00B16557" w:rsidRPr="009844E3">
        <w:rPr>
          <w:rFonts w:ascii="Arial" w:eastAsia="Times New Roman" w:hAnsi="Arial" w:cs="Arial"/>
          <w:i/>
          <w:iCs/>
          <w:color w:val="7030A0"/>
          <w:lang w:eastAsia="fr-FR"/>
        </w:rPr>
        <w:t>…. »</w:t>
      </w:r>
    </w:p>
    <w:p w14:paraId="3B61DC00" w14:textId="77777777" w:rsidR="00DD3BCA" w:rsidRPr="00ED2883" w:rsidRDefault="00DD3BCA" w:rsidP="00E264A0">
      <w:pPr>
        <w:spacing w:after="120" w:line="240" w:lineRule="auto"/>
        <w:rPr>
          <w:rFonts w:ascii="Arial" w:hAnsi="Arial" w:cs="Arial"/>
        </w:rPr>
      </w:pPr>
      <w:r w:rsidRPr="009844E3">
        <w:rPr>
          <w:rFonts w:ascii="Arial" w:hAnsi="Arial" w:cs="Arial"/>
          <w:b/>
          <w:bCs/>
          <w:color w:val="7030A0"/>
        </w:rPr>
        <w:t>Le V de l’art R321-12</w:t>
      </w:r>
      <w:r w:rsidRPr="009844E3">
        <w:rPr>
          <w:rFonts w:ascii="Arial" w:hAnsi="Arial" w:cs="Arial"/>
          <w:color w:val="7030A0"/>
        </w:rPr>
        <w:t xml:space="preserve"> </w:t>
      </w:r>
      <w:r w:rsidRPr="00ED2883">
        <w:rPr>
          <w:rFonts w:ascii="Arial" w:hAnsi="Arial" w:cs="Arial"/>
        </w:rPr>
        <w:t>déjà cité ci-dessus dispose que l’ANAH peut accorder des subventions aux collectivités territoriales :</w:t>
      </w:r>
    </w:p>
    <w:p w14:paraId="3441B80E" w14:textId="77777777" w:rsidR="00DD3BCA" w:rsidRPr="009844E3" w:rsidRDefault="00DD3BCA" w:rsidP="00DD3BCA">
      <w:pPr>
        <w:shd w:val="clear" w:color="auto" w:fill="FFFFFF"/>
        <w:spacing w:after="240" w:line="240" w:lineRule="auto"/>
        <w:rPr>
          <w:rFonts w:ascii="Arial" w:eastAsia="Times New Roman" w:hAnsi="Arial" w:cs="Arial"/>
          <w:i/>
          <w:iCs/>
          <w:color w:val="7030A0"/>
          <w:lang w:eastAsia="fr-FR"/>
        </w:rPr>
      </w:pPr>
      <w:r w:rsidRPr="009844E3">
        <w:rPr>
          <w:rFonts w:ascii="Arial" w:eastAsia="Times New Roman" w:hAnsi="Arial" w:cs="Arial"/>
          <w:i/>
          <w:iCs/>
          <w:color w:val="7030A0"/>
          <w:lang w:eastAsia="fr-FR"/>
        </w:rPr>
        <w:lastRenderedPageBreak/>
        <w:t>« 1° Pour la réalisation d'opérations de traitement, par appropriation publique, d'immeubles dans le cadre d'opérations de restauration immobilière prévues aux articles L. 313-4 et suivants du code de l'urbanisme ayant fait l'objet d'une déclaration d'utilité publique et destinés à la production de logements dans un objectif de mixité sociale ;</w:t>
      </w:r>
    </w:p>
    <w:p w14:paraId="583EB292" w14:textId="77777777" w:rsidR="00DD3BCA" w:rsidRPr="009844E3" w:rsidRDefault="00DD3BCA" w:rsidP="00DD3BCA">
      <w:pPr>
        <w:shd w:val="clear" w:color="auto" w:fill="FFFFFF"/>
        <w:spacing w:after="240" w:line="240" w:lineRule="auto"/>
        <w:rPr>
          <w:rFonts w:ascii="Arial" w:eastAsia="Times New Roman" w:hAnsi="Arial" w:cs="Arial"/>
          <w:i/>
          <w:iCs/>
          <w:color w:val="7030A0"/>
          <w:lang w:eastAsia="fr-FR"/>
        </w:rPr>
      </w:pPr>
      <w:r w:rsidRPr="009844E3">
        <w:rPr>
          <w:rFonts w:ascii="Arial" w:eastAsia="Times New Roman" w:hAnsi="Arial" w:cs="Arial"/>
          <w:i/>
          <w:iCs/>
          <w:color w:val="7030A0"/>
          <w:lang w:eastAsia="fr-FR"/>
        </w:rPr>
        <w:t>« 2° Pour la réalisation d'opérations visées aux articles L 522-1</w:t>
      </w:r>
      <w:r w:rsidR="00164ABD" w:rsidRPr="009844E3">
        <w:rPr>
          <w:rStyle w:val="Appelnotedebasdep"/>
          <w:rFonts w:ascii="Arial" w:eastAsia="Times New Roman" w:hAnsi="Arial" w:cs="Arial"/>
          <w:i/>
          <w:iCs/>
          <w:color w:val="7030A0"/>
          <w:lang w:eastAsia="fr-FR"/>
        </w:rPr>
        <w:footnoteReference w:id="11"/>
      </w:r>
      <w:r w:rsidRPr="009844E3">
        <w:rPr>
          <w:rFonts w:ascii="Arial" w:eastAsia="Times New Roman" w:hAnsi="Arial" w:cs="Arial"/>
          <w:i/>
          <w:iCs/>
          <w:color w:val="7030A0"/>
          <w:lang w:eastAsia="fr-FR"/>
        </w:rPr>
        <w:t>, alinéa 1, et </w:t>
      </w:r>
      <w:hyperlink r:id="rId16" w:history="1">
        <w:r w:rsidRPr="009844E3">
          <w:rPr>
            <w:rFonts w:ascii="Arial" w:eastAsia="Times New Roman" w:hAnsi="Arial" w:cs="Arial"/>
            <w:i/>
            <w:iCs/>
            <w:color w:val="7030A0"/>
            <w:u w:val="single"/>
            <w:lang w:eastAsia="fr-FR"/>
          </w:rPr>
          <w:t>R. 523-1</w:t>
        </w:r>
      </w:hyperlink>
      <w:r w:rsidRPr="009844E3">
        <w:rPr>
          <w:rFonts w:ascii="Arial" w:eastAsia="Times New Roman" w:hAnsi="Arial" w:cs="Arial"/>
          <w:i/>
          <w:iCs/>
          <w:color w:val="7030A0"/>
          <w:lang w:eastAsia="fr-FR"/>
        </w:rPr>
        <w:t> et suivants. »</w:t>
      </w:r>
    </w:p>
    <w:p w14:paraId="785581CC" w14:textId="58EA791C" w:rsidR="003C7F89" w:rsidRDefault="00DD3BCA" w:rsidP="00E264A0">
      <w:pPr>
        <w:spacing w:after="120" w:line="240" w:lineRule="auto"/>
        <w:rPr>
          <w:rFonts w:ascii="Arial" w:hAnsi="Arial" w:cs="Arial"/>
        </w:rPr>
      </w:pPr>
      <w:r w:rsidRPr="00ED2883">
        <w:rPr>
          <w:rFonts w:ascii="Arial" w:hAnsi="Arial" w:cs="Arial"/>
        </w:rPr>
        <w:t xml:space="preserve">Les </w:t>
      </w:r>
      <w:r w:rsidR="007536F1" w:rsidRPr="00ED2883">
        <w:rPr>
          <w:rFonts w:ascii="Arial" w:hAnsi="Arial" w:cs="Arial"/>
        </w:rPr>
        <w:t xml:space="preserve">opérations </w:t>
      </w:r>
      <w:r w:rsidRPr="00ED2883">
        <w:rPr>
          <w:rFonts w:ascii="Arial" w:hAnsi="Arial" w:cs="Arial"/>
        </w:rPr>
        <w:t xml:space="preserve">de restauration immobilière </w:t>
      </w:r>
      <w:r w:rsidR="00164ABD" w:rsidRPr="00ED2883">
        <w:rPr>
          <w:rFonts w:ascii="Arial" w:hAnsi="Arial" w:cs="Arial"/>
        </w:rPr>
        <w:t xml:space="preserve">(ORI) </w:t>
      </w:r>
      <w:r w:rsidRPr="00ED2883">
        <w:rPr>
          <w:rFonts w:ascii="Arial" w:hAnsi="Arial" w:cs="Arial"/>
        </w:rPr>
        <w:t xml:space="preserve">relevant du code de l’urbanisme citées au 1° ci-dessus </w:t>
      </w:r>
      <w:r w:rsidR="007536F1" w:rsidRPr="00ED2883">
        <w:rPr>
          <w:rFonts w:ascii="Arial" w:hAnsi="Arial" w:cs="Arial"/>
        </w:rPr>
        <w:t>échapp</w:t>
      </w:r>
      <w:r w:rsidRPr="00ED2883">
        <w:rPr>
          <w:rFonts w:ascii="Arial" w:hAnsi="Arial" w:cs="Arial"/>
        </w:rPr>
        <w:t>e</w:t>
      </w:r>
      <w:r w:rsidR="007536F1" w:rsidRPr="00ED2883">
        <w:rPr>
          <w:rFonts w:ascii="Arial" w:hAnsi="Arial" w:cs="Arial"/>
        </w:rPr>
        <w:t xml:space="preserve">nt totalement au 2eme alinéa de l’art L522-1 du CCH, qui ne </w:t>
      </w:r>
      <w:r w:rsidR="009910CD" w:rsidRPr="00ED2883">
        <w:rPr>
          <w:rFonts w:ascii="Arial" w:hAnsi="Arial" w:cs="Arial"/>
        </w:rPr>
        <w:t xml:space="preserve">semble </w:t>
      </w:r>
      <w:r w:rsidR="007536F1" w:rsidRPr="00ED2883">
        <w:rPr>
          <w:rFonts w:ascii="Arial" w:hAnsi="Arial" w:cs="Arial"/>
        </w:rPr>
        <w:t>vise</w:t>
      </w:r>
      <w:r w:rsidR="00164ABD" w:rsidRPr="00ED2883">
        <w:rPr>
          <w:rFonts w:ascii="Arial" w:hAnsi="Arial" w:cs="Arial"/>
        </w:rPr>
        <w:t>r</w:t>
      </w:r>
      <w:r w:rsidR="007536F1" w:rsidRPr="00ED2883">
        <w:rPr>
          <w:rFonts w:ascii="Arial" w:hAnsi="Arial" w:cs="Arial"/>
        </w:rPr>
        <w:t xml:space="preserve"> que l’habitat indigne traité par les polices de l’insalubrité et du péril</w:t>
      </w:r>
      <w:r w:rsidR="007A7166">
        <w:rPr>
          <w:rFonts w:ascii="Arial" w:hAnsi="Arial" w:cs="Arial"/>
        </w:rPr>
        <w:t>/ insécurité</w:t>
      </w:r>
      <w:r w:rsidR="00164ABD" w:rsidRPr="00ED2883">
        <w:rPr>
          <w:rFonts w:ascii="Arial" w:hAnsi="Arial" w:cs="Arial"/>
        </w:rPr>
        <w:t>. C</w:t>
      </w:r>
      <w:r w:rsidR="001943F6" w:rsidRPr="00ED2883">
        <w:rPr>
          <w:rFonts w:ascii="Arial" w:hAnsi="Arial" w:cs="Arial"/>
        </w:rPr>
        <w:t xml:space="preserve">es opérations </w:t>
      </w:r>
      <w:r w:rsidR="00164ABD" w:rsidRPr="00ED2883">
        <w:rPr>
          <w:rFonts w:ascii="Arial" w:hAnsi="Arial" w:cs="Arial"/>
        </w:rPr>
        <w:t xml:space="preserve">sont incluses dans le financement ouvert, </w:t>
      </w:r>
      <w:r w:rsidR="007536F1" w:rsidRPr="00ED2883">
        <w:rPr>
          <w:rFonts w:ascii="Arial" w:hAnsi="Arial" w:cs="Arial"/>
        </w:rPr>
        <w:t xml:space="preserve">comme celles du R523-1 du CCH, en «THIRORI » selon le vocabulaire de l’ANAH. </w:t>
      </w:r>
      <w:r w:rsidR="00164ABD" w:rsidRPr="00ED2883">
        <w:rPr>
          <w:rFonts w:ascii="Arial" w:hAnsi="Arial" w:cs="Arial"/>
        </w:rPr>
        <w:t xml:space="preserve">Donc les travaux effectués par une collectivité publique ou son aménageur, </w:t>
      </w:r>
      <w:proofErr w:type="gramStart"/>
      <w:r w:rsidR="00164ABD" w:rsidRPr="00ED2883">
        <w:rPr>
          <w:rFonts w:ascii="Arial" w:hAnsi="Arial" w:cs="Arial"/>
        </w:rPr>
        <w:t>suite à une</w:t>
      </w:r>
      <w:proofErr w:type="gramEnd"/>
      <w:r w:rsidR="00164ABD" w:rsidRPr="00ED2883">
        <w:rPr>
          <w:rFonts w:ascii="Arial" w:hAnsi="Arial" w:cs="Arial"/>
        </w:rPr>
        <w:t xml:space="preserve"> ORI ne peuvent etre incluses dans le champ du 2° alinéa du L632-2-1 du code du patrimoine. </w:t>
      </w:r>
    </w:p>
    <w:p w14:paraId="1F1005BA" w14:textId="77777777" w:rsidR="005D26C5" w:rsidRDefault="005D26C5" w:rsidP="00E264A0">
      <w:pPr>
        <w:spacing w:after="120" w:line="240" w:lineRule="auto"/>
        <w:rPr>
          <w:rFonts w:ascii="Arial" w:hAnsi="Arial" w:cs="Arial"/>
        </w:rPr>
      </w:pPr>
    </w:p>
    <w:p w14:paraId="03616B7F" w14:textId="41E38515" w:rsidR="003C7F89" w:rsidRPr="005D26C5" w:rsidRDefault="003C7F89" w:rsidP="00E264A0">
      <w:pPr>
        <w:spacing w:after="120" w:line="240" w:lineRule="auto"/>
        <w:rPr>
          <w:rFonts w:ascii="Arial" w:hAnsi="Arial" w:cs="Arial"/>
          <w:b/>
          <w:bCs/>
        </w:rPr>
      </w:pPr>
      <w:r w:rsidRPr="005D26C5">
        <w:rPr>
          <w:rFonts w:ascii="Arial" w:hAnsi="Arial" w:cs="Arial"/>
          <w:b/>
          <w:bCs/>
        </w:rPr>
        <w:t xml:space="preserve">Dernière observation sur ce sujet : dans tous les cas où les immeubles sont situés dans un Site patrimonial remarquable (SPR) approuvé, ou couvert par un </w:t>
      </w:r>
      <w:r w:rsidR="00A72F9B" w:rsidRPr="005D26C5">
        <w:rPr>
          <w:rFonts w:ascii="Arial" w:hAnsi="Arial" w:cs="Arial"/>
          <w:b/>
          <w:bCs/>
        </w:rPr>
        <w:t>PSMV</w:t>
      </w:r>
      <w:r w:rsidR="00A72F9B">
        <w:rPr>
          <w:rFonts w:ascii="Arial" w:hAnsi="Arial" w:cs="Arial"/>
          <w:b/>
          <w:bCs/>
        </w:rPr>
        <w:t>,</w:t>
      </w:r>
      <w:r w:rsidR="00A72F9B" w:rsidRPr="005D26C5">
        <w:rPr>
          <w:rFonts w:ascii="Arial" w:hAnsi="Arial" w:cs="Arial"/>
          <w:b/>
          <w:bCs/>
        </w:rPr>
        <w:t xml:space="preserve"> les</w:t>
      </w:r>
      <w:r w:rsidRPr="005D26C5">
        <w:rPr>
          <w:rFonts w:ascii="Arial" w:hAnsi="Arial" w:cs="Arial"/>
          <w:b/>
          <w:bCs/>
        </w:rPr>
        <w:t xml:space="preserve"> dispositions des règlements afférents s’imposent à l’ABF comme aux collectivités publiques et l’avis de l’ABF ne peut que s’y référer. L’art L632-2-1 du code du patrimoine, en admettant qu’il soit applicable, ne saurait y déroger.</w:t>
      </w:r>
    </w:p>
    <w:p w14:paraId="4B658854" w14:textId="77777777" w:rsidR="00ED2883" w:rsidRDefault="00ED2883" w:rsidP="00E264A0">
      <w:pPr>
        <w:spacing w:after="120" w:line="240" w:lineRule="auto"/>
        <w:rPr>
          <w:rFonts w:ascii="Arial" w:hAnsi="Arial" w:cs="Arial"/>
        </w:rPr>
      </w:pPr>
    </w:p>
    <w:p w14:paraId="112BEA44" w14:textId="77777777" w:rsidR="00ED2883" w:rsidRPr="00ED2883" w:rsidRDefault="00ED2883" w:rsidP="00ED2883">
      <w:pPr>
        <w:spacing w:after="120" w:line="240" w:lineRule="auto"/>
        <w:jc w:val="center"/>
        <w:rPr>
          <w:rFonts w:ascii="Arial" w:hAnsi="Arial" w:cs="Arial"/>
        </w:rPr>
      </w:pPr>
      <w:r>
        <w:rPr>
          <w:rFonts w:ascii="Arial" w:hAnsi="Arial" w:cs="Arial"/>
        </w:rPr>
        <w:t>*********</w:t>
      </w:r>
    </w:p>
    <w:p w14:paraId="5CC6EDD2" w14:textId="77777777" w:rsidR="00083B81" w:rsidRPr="00ED2883" w:rsidRDefault="00083B81" w:rsidP="00E264A0">
      <w:pPr>
        <w:spacing w:after="120" w:line="240" w:lineRule="auto"/>
        <w:rPr>
          <w:rFonts w:ascii="Arial" w:hAnsi="Arial" w:cs="Arial"/>
        </w:rPr>
      </w:pPr>
      <w:r w:rsidRPr="00ED2883">
        <w:rPr>
          <w:rFonts w:ascii="Arial" w:hAnsi="Arial" w:cs="Arial"/>
        </w:rPr>
        <w:t xml:space="preserve">Il résulte de </w:t>
      </w:r>
      <w:r w:rsidR="003C7F89">
        <w:rPr>
          <w:rFonts w:ascii="Arial" w:hAnsi="Arial" w:cs="Arial"/>
        </w:rPr>
        <w:t xml:space="preserve">cette analyse que </w:t>
      </w:r>
      <w:r w:rsidRPr="00ED2883">
        <w:rPr>
          <w:rFonts w:ascii="Arial" w:hAnsi="Arial" w:cs="Arial"/>
        </w:rPr>
        <w:t xml:space="preserve">toutes </w:t>
      </w:r>
      <w:r w:rsidR="003C7F89">
        <w:rPr>
          <w:rFonts w:ascii="Arial" w:hAnsi="Arial" w:cs="Arial"/>
        </w:rPr>
        <w:t>l</w:t>
      </w:r>
      <w:r w:rsidRPr="00ED2883">
        <w:rPr>
          <w:rFonts w:ascii="Arial" w:hAnsi="Arial" w:cs="Arial"/>
        </w:rPr>
        <w:t xml:space="preserve">es dispositions financières </w:t>
      </w:r>
      <w:r w:rsidR="003C7F89">
        <w:rPr>
          <w:rFonts w:ascii="Arial" w:hAnsi="Arial" w:cs="Arial"/>
        </w:rPr>
        <w:t xml:space="preserve">du CCH </w:t>
      </w:r>
      <w:r w:rsidRPr="00ED2883">
        <w:rPr>
          <w:rFonts w:ascii="Arial" w:hAnsi="Arial" w:cs="Arial"/>
        </w:rPr>
        <w:t xml:space="preserve">afférentes au traitement de l’habitat indigne et à la restauration </w:t>
      </w:r>
      <w:r w:rsidR="00164ABD" w:rsidRPr="00ED2883">
        <w:rPr>
          <w:rFonts w:ascii="Arial" w:hAnsi="Arial" w:cs="Arial"/>
        </w:rPr>
        <w:t>immobilière, amalgamées</w:t>
      </w:r>
      <w:r w:rsidRPr="00ED2883">
        <w:rPr>
          <w:rFonts w:ascii="Arial" w:hAnsi="Arial" w:cs="Arial"/>
        </w:rPr>
        <w:t xml:space="preserve"> dans le financement THIRORI de l’ANAH, d’une part</w:t>
      </w:r>
      <w:r w:rsidR="005E417F">
        <w:rPr>
          <w:rFonts w:ascii="Arial" w:hAnsi="Arial" w:cs="Arial"/>
        </w:rPr>
        <w:t>,</w:t>
      </w:r>
      <w:r w:rsidRPr="00ED2883">
        <w:rPr>
          <w:rFonts w:ascii="Arial" w:hAnsi="Arial" w:cs="Arial"/>
        </w:rPr>
        <w:t xml:space="preserve">  n’entrent pas toutes dans </w:t>
      </w:r>
      <w:r w:rsidR="001943F6" w:rsidRPr="00ED2883">
        <w:rPr>
          <w:rFonts w:ascii="Arial" w:hAnsi="Arial" w:cs="Arial"/>
        </w:rPr>
        <w:t>le champ supposé</w:t>
      </w:r>
      <w:r w:rsidRPr="00ED2883">
        <w:rPr>
          <w:rFonts w:ascii="Arial" w:hAnsi="Arial" w:cs="Arial"/>
        </w:rPr>
        <w:t xml:space="preserve"> du 2° alinéa du L522-1 du CCH et d’autre part que ce champ supposé n’est lui-même pas défini par la loi. </w:t>
      </w:r>
    </w:p>
    <w:p w14:paraId="569E7731" w14:textId="77777777" w:rsidR="00083B81" w:rsidRPr="00ED2883" w:rsidRDefault="00083B81" w:rsidP="00E264A0">
      <w:pPr>
        <w:spacing w:after="120" w:line="240" w:lineRule="auto"/>
        <w:rPr>
          <w:rFonts w:ascii="Arial" w:hAnsi="Arial" w:cs="Arial"/>
          <w:b/>
          <w:bCs/>
          <w:i/>
          <w:iCs/>
        </w:rPr>
      </w:pPr>
      <w:r w:rsidRPr="00ED2883">
        <w:rPr>
          <w:rFonts w:ascii="Arial" w:hAnsi="Arial" w:cs="Arial"/>
          <w:b/>
          <w:bCs/>
          <w:i/>
          <w:iCs/>
        </w:rPr>
        <w:t>Il n’y a donc aucun fondement juridique à faire porter par des dispositions strictement financières des effets de droit sur les autorisations relevant des codes de l’urbanisme et du patrimoine.</w:t>
      </w:r>
    </w:p>
    <w:p w14:paraId="184F6DD7" w14:textId="4C497FB0" w:rsidR="00E264A0" w:rsidRPr="00ED2883" w:rsidRDefault="00E264A0" w:rsidP="00E264A0">
      <w:pPr>
        <w:spacing w:after="120" w:line="240" w:lineRule="auto"/>
        <w:rPr>
          <w:rFonts w:ascii="Arial" w:hAnsi="Arial" w:cs="Arial"/>
          <w:b/>
          <w:bCs/>
          <w:i/>
          <w:iCs/>
        </w:rPr>
      </w:pPr>
      <w:r w:rsidRPr="00ED2883">
        <w:rPr>
          <w:rFonts w:ascii="Arial" w:hAnsi="Arial" w:cs="Arial"/>
          <w:b/>
          <w:bCs/>
          <w:i/>
          <w:iCs/>
        </w:rPr>
        <w:t xml:space="preserve">Il résulte de </w:t>
      </w:r>
      <w:r w:rsidR="007536F1" w:rsidRPr="00ED2883">
        <w:rPr>
          <w:rFonts w:ascii="Arial" w:hAnsi="Arial" w:cs="Arial"/>
          <w:b/>
          <w:bCs/>
          <w:i/>
          <w:iCs/>
        </w:rPr>
        <w:t>cela que</w:t>
      </w:r>
      <w:r w:rsidRPr="00ED2883">
        <w:rPr>
          <w:rFonts w:ascii="Arial" w:hAnsi="Arial" w:cs="Arial"/>
          <w:b/>
          <w:bCs/>
          <w:i/>
          <w:iCs/>
        </w:rPr>
        <w:t xml:space="preserve"> </w:t>
      </w:r>
      <w:r w:rsidR="007536F1" w:rsidRPr="00ED2883">
        <w:rPr>
          <w:rFonts w:ascii="Arial" w:hAnsi="Arial" w:cs="Arial"/>
          <w:b/>
          <w:bCs/>
          <w:i/>
          <w:iCs/>
        </w:rPr>
        <w:t xml:space="preserve">la disposition du 2°) de l’art L632-2-1 du code du patrimoine n’a pas de champ d’application juridiquement défini </w:t>
      </w:r>
      <w:r w:rsidR="001943F6" w:rsidRPr="00ED2883">
        <w:rPr>
          <w:rFonts w:ascii="Arial" w:hAnsi="Arial" w:cs="Arial"/>
          <w:b/>
          <w:bCs/>
          <w:i/>
          <w:iCs/>
        </w:rPr>
        <w:t>et que</w:t>
      </w:r>
      <w:r w:rsidRPr="00ED2883">
        <w:rPr>
          <w:rFonts w:ascii="Arial" w:hAnsi="Arial" w:cs="Arial"/>
          <w:b/>
          <w:bCs/>
          <w:i/>
          <w:iCs/>
        </w:rPr>
        <w:t xml:space="preserve"> l’avis simple ainsi exposé manque </w:t>
      </w:r>
      <w:r w:rsidR="007536F1" w:rsidRPr="00ED2883">
        <w:rPr>
          <w:rFonts w:ascii="Arial" w:hAnsi="Arial" w:cs="Arial"/>
          <w:b/>
          <w:bCs/>
          <w:i/>
          <w:iCs/>
        </w:rPr>
        <w:t xml:space="preserve">totalement </w:t>
      </w:r>
      <w:r w:rsidRPr="00ED2883">
        <w:rPr>
          <w:rFonts w:ascii="Arial" w:hAnsi="Arial" w:cs="Arial"/>
          <w:b/>
          <w:bCs/>
          <w:i/>
          <w:iCs/>
        </w:rPr>
        <w:t>de fondement juridique</w:t>
      </w:r>
      <w:r w:rsidR="00AD394B">
        <w:rPr>
          <w:rFonts w:ascii="Arial" w:hAnsi="Arial" w:cs="Arial"/>
          <w:b/>
          <w:bCs/>
          <w:i/>
          <w:iCs/>
        </w:rPr>
        <w:t xml:space="preserve"> et ce, d’autant plus qu’il n’existe pas d’avis ABF sur des opérations car il n’est jamais saisi à ce stade …</w:t>
      </w:r>
      <w:r w:rsidRPr="00ED2883">
        <w:rPr>
          <w:rFonts w:ascii="Arial" w:hAnsi="Arial" w:cs="Arial"/>
          <w:b/>
          <w:bCs/>
          <w:i/>
          <w:iCs/>
        </w:rPr>
        <w:t xml:space="preserve">. </w:t>
      </w:r>
    </w:p>
    <w:p w14:paraId="3A359F2E" w14:textId="50755D94" w:rsidR="00E264A0" w:rsidRPr="00ED2883" w:rsidRDefault="00E264A0" w:rsidP="00E264A0">
      <w:pPr>
        <w:spacing w:after="120" w:line="240" w:lineRule="auto"/>
        <w:rPr>
          <w:rFonts w:ascii="Arial" w:hAnsi="Arial" w:cs="Arial"/>
          <w:b/>
          <w:bCs/>
          <w:i/>
          <w:iCs/>
        </w:rPr>
      </w:pPr>
      <w:r w:rsidRPr="00ED2883">
        <w:rPr>
          <w:rFonts w:ascii="Arial" w:hAnsi="Arial" w:cs="Arial"/>
          <w:b/>
          <w:bCs/>
          <w:i/>
          <w:iCs/>
        </w:rPr>
        <w:t>On peut en conclure que l’avis conforme s’impose</w:t>
      </w:r>
      <w:r w:rsidR="00AD394B">
        <w:rPr>
          <w:rFonts w:ascii="Arial" w:hAnsi="Arial" w:cs="Arial"/>
          <w:b/>
          <w:bCs/>
          <w:i/>
          <w:iCs/>
        </w:rPr>
        <w:t xml:space="preserve"> sur les travaux divers affectant les immeubles acquis par la collectivité publique ou un acteur public dans le cadre d’une action éligible aux financements RHI ou T</w:t>
      </w:r>
      <w:r w:rsidR="00A72F9B">
        <w:rPr>
          <w:rFonts w:ascii="Arial" w:hAnsi="Arial" w:cs="Arial"/>
          <w:b/>
          <w:bCs/>
          <w:i/>
          <w:iCs/>
        </w:rPr>
        <w:t>H</w:t>
      </w:r>
      <w:r w:rsidR="00AD394B">
        <w:rPr>
          <w:rFonts w:ascii="Arial" w:hAnsi="Arial" w:cs="Arial"/>
          <w:b/>
          <w:bCs/>
          <w:i/>
          <w:iCs/>
        </w:rPr>
        <w:t xml:space="preserve">IRORI de l’ANAH </w:t>
      </w:r>
      <w:r w:rsidRPr="00ED2883">
        <w:rPr>
          <w:rFonts w:ascii="Arial" w:hAnsi="Arial" w:cs="Arial"/>
          <w:b/>
          <w:bCs/>
          <w:i/>
          <w:iCs/>
        </w:rPr>
        <w:t>…</w:t>
      </w:r>
    </w:p>
    <w:p w14:paraId="36288BE4" w14:textId="77777777" w:rsidR="007536F1" w:rsidRDefault="007536F1" w:rsidP="00E264A0">
      <w:pPr>
        <w:spacing w:after="120" w:line="240" w:lineRule="auto"/>
        <w:rPr>
          <w:rFonts w:ascii="Arial" w:hAnsi="Arial" w:cs="Arial"/>
          <w:b/>
          <w:bCs/>
          <w:i/>
          <w:iCs/>
        </w:rPr>
      </w:pPr>
    </w:p>
    <w:p w14:paraId="4C8B7E0C" w14:textId="77777777" w:rsidR="003C7F89" w:rsidRPr="00ED2883" w:rsidRDefault="003C7F89" w:rsidP="00E264A0">
      <w:pPr>
        <w:spacing w:after="120" w:line="240" w:lineRule="auto"/>
        <w:rPr>
          <w:rFonts w:ascii="Arial" w:hAnsi="Arial" w:cs="Arial"/>
          <w:b/>
          <w:bCs/>
          <w:i/>
          <w:iCs/>
        </w:rPr>
      </w:pPr>
    </w:p>
    <w:sectPr w:rsidR="003C7F89" w:rsidRPr="00ED2883" w:rsidSect="00216618">
      <w:footerReference w:type="defaul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32FD" w14:textId="77777777" w:rsidR="004D76B1" w:rsidRDefault="004D76B1" w:rsidP="009605C1">
      <w:pPr>
        <w:spacing w:after="0" w:line="240" w:lineRule="auto"/>
      </w:pPr>
      <w:r>
        <w:separator/>
      </w:r>
    </w:p>
  </w:endnote>
  <w:endnote w:type="continuationSeparator" w:id="0">
    <w:p w14:paraId="6223B5C8" w14:textId="77777777" w:rsidR="004D76B1" w:rsidRDefault="004D76B1" w:rsidP="00960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500269"/>
      <w:docPartObj>
        <w:docPartGallery w:val="Page Numbers (Bottom of Page)"/>
        <w:docPartUnique/>
      </w:docPartObj>
    </w:sdtPr>
    <w:sdtContent>
      <w:p w14:paraId="0CB85C25" w14:textId="52195856" w:rsidR="009C1227" w:rsidRDefault="009C1227">
        <w:pPr>
          <w:pStyle w:val="Pieddepage"/>
          <w:jc w:val="right"/>
        </w:pPr>
        <w:r>
          <w:fldChar w:fldCharType="begin"/>
        </w:r>
        <w:r>
          <w:instrText>PAGE   \* MERGEFORMAT</w:instrText>
        </w:r>
        <w:r>
          <w:fldChar w:fldCharType="separate"/>
        </w:r>
        <w:r>
          <w:t>2</w:t>
        </w:r>
        <w:r>
          <w:fldChar w:fldCharType="end"/>
        </w:r>
      </w:p>
    </w:sdtContent>
  </w:sdt>
  <w:p w14:paraId="2144700C" w14:textId="77777777" w:rsidR="003C7F89" w:rsidRDefault="003C7F8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9BC6" w14:textId="1B7314C7" w:rsidR="00216618" w:rsidRDefault="00216618" w:rsidP="00216618">
    <w:pPr>
      <w:pStyle w:val="Pieddepage"/>
      <w:jc w:val="center"/>
    </w:pPr>
    <w:r>
      <w:t>BOUCHE DOUBLE –</w:t>
    </w:r>
    <w:r w:rsidR="00CC0FF4">
      <w:t xml:space="preserve"> mis à jour juillet </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8BFFF" w14:textId="77777777" w:rsidR="004D76B1" w:rsidRDefault="004D76B1" w:rsidP="009605C1">
      <w:pPr>
        <w:spacing w:after="0" w:line="240" w:lineRule="auto"/>
      </w:pPr>
      <w:r>
        <w:separator/>
      </w:r>
    </w:p>
  </w:footnote>
  <w:footnote w:type="continuationSeparator" w:id="0">
    <w:p w14:paraId="5066C5FB" w14:textId="77777777" w:rsidR="004D76B1" w:rsidRDefault="004D76B1" w:rsidP="009605C1">
      <w:pPr>
        <w:spacing w:after="0" w:line="240" w:lineRule="auto"/>
      </w:pPr>
      <w:r>
        <w:continuationSeparator/>
      </w:r>
    </w:p>
  </w:footnote>
  <w:footnote w:id="1">
    <w:p w14:paraId="4A9F0969" w14:textId="059ED5A4" w:rsidR="00DC25B5" w:rsidRPr="00697A08" w:rsidRDefault="00DC25B5" w:rsidP="00DC25B5">
      <w:pPr>
        <w:pStyle w:val="Notedebasdepage"/>
        <w:rPr>
          <w:rFonts w:ascii="Arial" w:hAnsi="Arial" w:cs="Arial"/>
        </w:rPr>
      </w:pPr>
      <w:r w:rsidRPr="00697A08">
        <w:rPr>
          <w:rStyle w:val="Appelnotedebasdep"/>
          <w:rFonts w:ascii="Arial" w:hAnsi="Arial" w:cs="Arial"/>
        </w:rPr>
        <w:footnoteRef/>
      </w:r>
      <w:r w:rsidRPr="00697A08">
        <w:rPr>
          <w:rFonts w:ascii="Arial" w:hAnsi="Arial" w:cs="Arial"/>
        </w:rPr>
        <w:t xml:space="preserve"> En réalité, le L 511 -</w:t>
      </w:r>
      <w:proofErr w:type="gramStart"/>
      <w:r w:rsidRPr="00697A08">
        <w:rPr>
          <w:rFonts w:ascii="Arial" w:hAnsi="Arial" w:cs="Arial"/>
        </w:rPr>
        <w:t>8  du</w:t>
      </w:r>
      <w:proofErr w:type="gramEnd"/>
      <w:r w:rsidRPr="00697A08">
        <w:rPr>
          <w:rFonts w:ascii="Arial" w:hAnsi="Arial" w:cs="Arial"/>
        </w:rPr>
        <w:t xml:space="preserve"> CCH ne prévoi</w:t>
      </w:r>
      <w:r w:rsidR="00D013AE" w:rsidRPr="00697A08">
        <w:rPr>
          <w:rFonts w:ascii="Arial" w:hAnsi="Arial" w:cs="Arial"/>
        </w:rPr>
        <w:t>t</w:t>
      </w:r>
      <w:r w:rsidRPr="00697A08">
        <w:rPr>
          <w:rFonts w:ascii="Arial" w:hAnsi="Arial" w:cs="Arial"/>
        </w:rPr>
        <w:t xml:space="preserve"> que l’expertise judiciaire ou le rapport des services de la commune ; il ne prévoit nullement </w:t>
      </w:r>
      <w:r w:rsidR="00A72F9B" w:rsidRPr="00697A08">
        <w:rPr>
          <w:rFonts w:ascii="Arial" w:hAnsi="Arial" w:cs="Arial"/>
        </w:rPr>
        <w:t>une expertise d’un</w:t>
      </w:r>
      <w:r w:rsidR="00697A08" w:rsidRPr="00697A08">
        <w:rPr>
          <w:rFonts w:ascii="Arial" w:hAnsi="Arial" w:cs="Arial"/>
        </w:rPr>
        <w:t xml:space="preserve"> t</w:t>
      </w:r>
      <w:r w:rsidR="00A72F9B" w:rsidRPr="00697A08">
        <w:rPr>
          <w:rFonts w:ascii="Arial" w:hAnsi="Arial" w:cs="Arial"/>
        </w:rPr>
        <w:t>iers</w:t>
      </w:r>
      <w:r w:rsidRPr="00697A08">
        <w:rPr>
          <w:rFonts w:ascii="Arial" w:hAnsi="Arial" w:cs="Arial"/>
        </w:rPr>
        <w:t xml:space="preserve"> … sauf à ce que la commune assume sous sa responsabilité l’expertise d’un BE extérieur. Conséquence : on peut évidemment attaquer l’expertise extérieure, plus facilement que l’expertise judiciaire, et l’ABF peut la contester</w:t>
      </w:r>
      <w:proofErr w:type="gramStart"/>
      <w:r w:rsidRPr="00697A08">
        <w:rPr>
          <w:rFonts w:ascii="Arial" w:hAnsi="Arial" w:cs="Arial"/>
        </w:rPr>
        <w:t xml:space="preserve"> ..</w:t>
      </w:r>
      <w:proofErr w:type="gramEnd"/>
      <w:r w:rsidRPr="00697A08">
        <w:rPr>
          <w:rFonts w:ascii="Arial" w:hAnsi="Arial" w:cs="Arial"/>
        </w:rPr>
        <w:t> </w:t>
      </w:r>
    </w:p>
  </w:footnote>
  <w:footnote w:id="2">
    <w:p w14:paraId="4263DA7C" w14:textId="417319FF" w:rsidR="00B97265" w:rsidRPr="00B97265" w:rsidRDefault="00B97265" w:rsidP="00CF5F13">
      <w:pPr>
        <w:spacing w:after="0" w:line="240" w:lineRule="auto"/>
        <w:rPr>
          <w:rFonts w:ascii="Arial" w:eastAsia="Times New Roman" w:hAnsi="Arial" w:cs="Arial"/>
          <w:iCs/>
          <w:color w:val="3C3C3C"/>
          <w:sz w:val="20"/>
          <w:szCs w:val="20"/>
          <w:lang w:eastAsia="fr-FR"/>
        </w:rPr>
      </w:pPr>
      <w:r>
        <w:rPr>
          <w:rStyle w:val="Appelnotedebasdep"/>
        </w:rPr>
        <w:footnoteRef/>
      </w:r>
      <w:r>
        <w:t xml:space="preserve"> La version de cet article issue de l’ordonnance de 2020 stipulait que : </w:t>
      </w:r>
      <w:r w:rsidRPr="0021605D">
        <w:rPr>
          <w:rFonts w:ascii="Arial" w:hAnsi="Arial" w:cs="Arial"/>
          <w:i/>
          <w:color w:val="7030A0"/>
          <w:sz w:val="20"/>
          <w:szCs w:val="20"/>
        </w:rPr>
        <w:t>”</w:t>
      </w:r>
      <w:r w:rsidRPr="0021605D">
        <w:rPr>
          <w:rFonts w:ascii="Arial" w:eastAsia="Times New Roman" w:hAnsi="Arial" w:cs="Arial"/>
          <w:i/>
          <w:color w:val="7030A0"/>
          <w:sz w:val="20"/>
          <w:szCs w:val="20"/>
          <w:lang w:eastAsia="fr-FR"/>
        </w:rPr>
        <w:t xml:space="preserve"> L'arrêté ne peut prescrire la démolition ou l'interdiction définitive d'habiter que s'il n'existe aucun moyen technique de remédier à l'insalubrité ou à l'insécurité ou lorsque les travaux nécessaires à cette résorption seraient plus coûteux que la reconstruction”</w:t>
      </w:r>
      <w:r w:rsidRPr="00B97265">
        <w:rPr>
          <w:rFonts w:ascii="Arial" w:eastAsia="Times New Roman" w:hAnsi="Arial" w:cs="Arial"/>
          <w:i/>
          <w:color w:val="3C3C3C"/>
          <w:sz w:val="20"/>
          <w:szCs w:val="20"/>
          <w:lang w:eastAsia="fr-FR"/>
        </w:rPr>
        <w:t>.</w:t>
      </w:r>
      <w:r>
        <w:rPr>
          <w:rFonts w:ascii="Arial" w:eastAsia="Times New Roman" w:hAnsi="Arial" w:cs="Arial"/>
          <w:i/>
          <w:color w:val="3C3C3C"/>
          <w:sz w:val="20"/>
          <w:szCs w:val="20"/>
          <w:lang w:eastAsia="fr-FR"/>
        </w:rPr>
        <w:t xml:space="preserve"> </w:t>
      </w:r>
      <w:r w:rsidRPr="00B97265">
        <w:rPr>
          <w:rFonts w:ascii="Arial" w:eastAsia="Times New Roman" w:hAnsi="Arial" w:cs="Arial"/>
          <w:iCs/>
          <w:color w:val="3C3C3C"/>
          <w:sz w:val="20"/>
          <w:szCs w:val="20"/>
          <w:lang w:eastAsia="fr-FR"/>
        </w:rPr>
        <w:t>Version identique au texte issu de la loi SRU de décembre 2000 pour les</w:t>
      </w:r>
      <w:r>
        <w:rPr>
          <w:rFonts w:ascii="Arial" w:eastAsia="Times New Roman" w:hAnsi="Arial" w:cs="Arial"/>
          <w:iCs/>
          <w:color w:val="3C3C3C"/>
          <w:sz w:val="20"/>
          <w:szCs w:val="20"/>
          <w:lang w:eastAsia="fr-FR"/>
        </w:rPr>
        <w:t xml:space="preserve"> </w:t>
      </w:r>
      <w:r w:rsidR="00CF5F13">
        <w:rPr>
          <w:rFonts w:ascii="Arial" w:eastAsia="Times New Roman" w:hAnsi="Arial" w:cs="Arial"/>
          <w:iCs/>
          <w:color w:val="3C3C3C"/>
          <w:sz w:val="20"/>
          <w:szCs w:val="20"/>
          <w:lang w:eastAsia="fr-FR"/>
        </w:rPr>
        <w:t xml:space="preserve">seuls </w:t>
      </w:r>
      <w:r w:rsidR="00CF5F13" w:rsidRPr="00B97265">
        <w:rPr>
          <w:rFonts w:ascii="Arial" w:eastAsia="Times New Roman" w:hAnsi="Arial" w:cs="Arial"/>
          <w:iCs/>
          <w:color w:val="3C3C3C"/>
          <w:sz w:val="20"/>
          <w:szCs w:val="20"/>
          <w:lang w:eastAsia="fr-FR"/>
        </w:rPr>
        <w:t>immeubles</w:t>
      </w:r>
      <w:r w:rsidRPr="00B97265">
        <w:rPr>
          <w:rFonts w:ascii="Arial" w:eastAsia="Times New Roman" w:hAnsi="Arial" w:cs="Arial"/>
          <w:iCs/>
          <w:color w:val="3C3C3C"/>
          <w:sz w:val="20"/>
          <w:szCs w:val="20"/>
          <w:lang w:eastAsia="fr-FR"/>
        </w:rPr>
        <w:t xml:space="preserve"> insalubres.</w:t>
      </w:r>
    </w:p>
    <w:p w14:paraId="4EEB1F01" w14:textId="0BC18DEF" w:rsidR="00B97265" w:rsidRDefault="00B97265" w:rsidP="00CF5F13">
      <w:pPr>
        <w:pStyle w:val="Notedebasdepage"/>
      </w:pPr>
    </w:p>
  </w:footnote>
  <w:footnote w:id="3">
    <w:p w14:paraId="69A772D0" w14:textId="30A8A83F" w:rsidR="00CF5F13" w:rsidRDefault="00B97265" w:rsidP="00CF5F13">
      <w:pPr>
        <w:pStyle w:val="Notedebasdepage"/>
        <w:rPr>
          <w:rFonts w:ascii="Arial" w:hAnsi="Arial" w:cs="Arial"/>
        </w:rPr>
      </w:pPr>
      <w:r>
        <w:rPr>
          <w:rStyle w:val="Appelnotedebasdep"/>
        </w:rPr>
        <w:footnoteRef/>
      </w:r>
      <w:r>
        <w:t xml:space="preserve"> </w:t>
      </w:r>
      <w:r w:rsidR="00CF5F13" w:rsidRPr="0066622E">
        <w:rPr>
          <w:rFonts w:ascii="Arial" w:hAnsi="Arial" w:cs="Arial"/>
        </w:rPr>
        <w:t>L</w:t>
      </w:r>
      <w:r w:rsidR="00CF5F13">
        <w:rPr>
          <w:rFonts w:ascii="Arial" w:hAnsi="Arial" w:cs="Arial"/>
        </w:rPr>
        <w:t>a notion « d’</w:t>
      </w:r>
      <w:r w:rsidR="00CF5F13" w:rsidRPr="0066622E">
        <w:rPr>
          <w:rFonts w:ascii="Arial" w:hAnsi="Arial" w:cs="Arial"/>
        </w:rPr>
        <w:t>irrémédiab</w:t>
      </w:r>
      <w:r w:rsidR="00CF5F13">
        <w:rPr>
          <w:rFonts w:ascii="Arial" w:hAnsi="Arial" w:cs="Arial"/>
        </w:rPr>
        <w:t xml:space="preserve">ilité </w:t>
      </w:r>
      <w:r w:rsidR="00CF5F13" w:rsidRPr="0066622E">
        <w:rPr>
          <w:rFonts w:ascii="Arial" w:hAnsi="Arial" w:cs="Arial"/>
        </w:rPr>
        <w:t xml:space="preserve">” a été supprimée par l'ordonnance du 16/09/2022, car considérée comme ambigüe : en effet on peut souvent remédier </w:t>
      </w:r>
      <w:r w:rsidR="00CF5F13">
        <w:rPr>
          <w:rFonts w:ascii="Arial" w:hAnsi="Arial" w:cs="Arial"/>
        </w:rPr>
        <w:t>à l’état d’un bâtiment très dégradé s</w:t>
      </w:r>
      <w:r w:rsidR="00CF5F13" w:rsidRPr="0066622E">
        <w:rPr>
          <w:rFonts w:ascii="Arial" w:hAnsi="Arial" w:cs="Arial"/>
        </w:rPr>
        <w:t xml:space="preserve">i on y met les moyens techniques et </w:t>
      </w:r>
      <w:r w:rsidR="0021605D" w:rsidRPr="0066622E">
        <w:rPr>
          <w:rFonts w:ascii="Arial" w:hAnsi="Arial" w:cs="Arial"/>
        </w:rPr>
        <w:t>financiers ;</w:t>
      </w:r>
      <w:r w:rsidR="00CF5F13" w:rsidRPr="0066622E">
        <w:rPr>
          <w:rFonts w:ascii="Arial" w:hAnsi="Arial" w:cs="Arial"/>
        </w:rPr>
        <w:t xml:space="preserve"> mais la notion juridique demeure en ce qu'une autorité administrative ne peut prescrire des travaux qui pourraient constituer une</w:t>
      </w:r>
      <w:r w:rsidR="00CF5F13">
        <w:rPr>
          <w:rFonts w:ascii="Arial" w:hAnsi="Arial" w:cs="Arial"/>
        </w:rPr>
        <w:t xml:space="preserve"> « </w:t>
      </w:r>
      <w:r w:rsidR="00CF5F13" w:rsidRPr="0066622E">
        <w:rPr>
          <w:rFonts w:ascii="Arial" w:hAnsi="Arial" w:cs="Arial"/>
        </w:rPr>
        <w:t>reconstruction</w:t>
      </w:r>
      <w:r w:rsidR="00CF5F13">
        <w:rPr>
          <w:rFonts w:ascii="Arial" w:hAnsi="Arial" w:cs="Arial"/>
        </w:rPr>
        <w:t xml:space="preserve"> », </w:t>
      </w:r>
      <w:r w:rsidR="00CF5F13" w:rsidRPr="00665C3E">
        <w:rPr>
          <w:rFonts w:ascii="Arial" w:hAnsi="Arial" w:cs="Arial"/>
        </w:rPr>
        <w:t>selon une jurisprudence constante du Conseil d’Etat.</w:t>
      </w:r>
    </w:p>
    <w:p w14:paraId="2199DE73" w14:textId="77777777" w:rsidR="00CF5F13" w:rsidRPr="00665C3E" w:rsidRDefault="00CF5F13" w:rsidP="00CF5F13">
      <w:pPr>
        <w:pStyle w:val="Notedebasdepage"/>
        <w:rPr>
          <w:rFonts w:ascii="Arial" w:hAnsi="Arial" w:cs="Arial"/>
        </w:rPr>
      </w:pPr>
    </w:p>
    <w:p w14:paraId="23D70BB5" w14:textId="258BA7CE" w:rsidR="00B97265" w:rsidRDefault="00B97265">
      <w:pPr>
        <w:pStyle w:val="Notedebasdepage"/>
      </w:pPr>
    </w:p>
  </w:footnote>
  <w:footnote w:id="4">
    <w:p w14:paraId="29AC5AFC" w14:textId="12964E5C" w:rsidR="002141B2" w:rsidRPr="00B97265" w:rsidRDefault="000A3335">
      <w:pPr>
        <w:pStyle w:val="Notedebasdepage"/>
        <w:rPr>
          <w:rFonts w:ascii="Arial" w:hAnsi="Arial" w:cs="Arial"/>
        </w:rPr>
      </w:pPr>
      <w:r w:rsidRPr="00B97265">
        <w:rPr>
          <w:rStyle w:val="Appelnotedebasdep"/>
          <w:rFonts w:ascii="Arial" w:hAnsi="Arial" w:cs="Arial"/>
        </w:rPr>
        <w:footnoteRef/>
      </w:r>
      <w:r w:rsidRPr="00B97265">
        <w:rPr>
          <w:rFonts w:ascii="Arial" w:hAnsi="Arial" w:cs="Arial"/>
        </w:rPr>
        <w:t xml:space="preserve"> Cet avis simple est prévu par le R511-4 du CCH, précédemment codifié en R </w:t>
      </w:r>
      <w:r w:rsidR="003E4498" w:rsidRPr="00B97265">
        <w:rPr>
          <w:rFonts w:ascii="Arial" w:hAnsi="Arial" w:cs="Arial"/>
        </w:rPr>
        <w:t>511-2 du CCH (</w:t>
      </w:r>
      <w:proofErr w:type="gramStart"/>
      <w:r w:rsidR="003E4498" w:rsidRPr="00B97265">
        <w:rPr>
          <w:rFonts w:ascii="Arial" w:hAnsi="Arial" w:cs="Arial"/>
        </w:rPr>
        <w:t>péril)</w:t>
      </w:r>
      <w:r w:rsidRPr="00B97265">
        <w:rPr>
          <w:rFonts w:ascii="Arial" w:hAnsi="Arial" w:cs="Arial"/>
        </w:rPr>
        <w:t xml:space="preserve">  </w:t>
      </w:r>
      <w:r w:rsidR="003E4498" w:rsidRPr="00B97265">
        <w:rPr>
          <w:rFonts w:ascii="Arial" w:hAnsi="Arial" w:cs="Arial"/>
        </w:rPr>
        <w:t xml:space="preserve"> </w:t>
      </w:r>
      <w:proofErr w:type="gramEnd"/>
      <w:r w:rsidR="003E4498" w:rsidRPr="00B97265">
        <w:rPr>
          <w:rFonts w:ascii="Arial" w:hAnsi="Arial" w:cs="Arial"/>
        </w:rPr>
        <w:t xml:space="preserve">et en R 1331-4 du code de la santé publique (insalubrité) </w:t>
      </w:r>
      <w:r w:rsidR="00243FEB" w:rsidRPr="00B97265">
        <w:rPr>
          <w:rFonts w:ascii="Arial" w:hAnsi="Arial" w:cs="Arial"/>
        </w:rPr>
        <w:t>p</w:t>
      </w:r>
      <w:r w:rsidRPr="00B97265">
        <w:rPr>
          <w:rFonts w:ascii="Arial" w:hAnsi="Arial" w:cs="Arial"/>
        </w:rPr>
        <w:t>ris en application des textes sur le péril et l’insalubrité de 2000 et de 2005-2006</w:t>
      </w:r>
      <w:r w:rsidR="003E4498" w:rsidRPr="00B97265">
        <w:rPr>
          <w:rFonts w:ascii="Arial" w:hAnsi="Arial" w:cs="Arial"/>
        </w:rPr>
        <w:t> ; article ayant succédé à un R</w:t>
      </w:r>
      <w:r w:rsidR="004303F3">
        <w:rPr>
          <w:rFonts w:ascii="Arial" w:hAnsi="Arial" w:cs="Arial"/>
        </w:rPr>
        <w:t>430-</w:t>
      </w:r>
      <w:r w:rsidR="00D013AE">
        <w:rPr>
          <w:rFonts w:ascii="Arial" w:hAnsi="Arial" w:cs="Arial"/>
        </w:rPr>
        <w:t>26</w:t>
      </w:r>
      <w:r w:rsidR="00D013AE" w:rsidRPr="00B97265">
        <w:rPr>
          <w:rFonts w:ascii="Arial" w:hAnsi="Arial" w:cs="Arial"/>
        </w:rPr>
        <w:t xml:space="preserve"> qui</w:t>
      </w:r>
      <w:r w:rsidR="002141B2" w:rsidRPr="00B97265">
        <w:rPr>
          <w:rFonts w:ascii="Arial" w:hAnsi="Arial" w:cs="Arial"/>
        </w:rPr>
        <w:t xml:space="preserve"> figurait </w:t>
      </w:r>
      <w:r w:rsidR="002141B2" w:rsidRPr="00B97265">
        <w:rPr>
          <w:rFonts w:ascii="Arial" w:hAnsi="Arial" w:cs="Arial"/>
          <w:i/>
          <w:iCs/>
        </w:rPr>
        <w:t>a</w:t>
      </w:r>
      <w:r w:rsidR="003E4498" w:rsidRPr="00B97265">
        <w:rPr>
          <w:rFonts w:ascii="Arial" w:hAnsi="Arial" w:cs="Arial"/>
          <w:i/>
          <w:iCs/>
        </w:rPr>
        <w:t>u code de l’urbanisme</w:t>
      </w:r>
      <w:r w:rsidR="003E4498" w:rsidRPr="00B97265">
        <w:rPr>
          <w:rFonts w:ascii="Arial" w:hAnsi="Arial" w:cs="Arial"/>
        </w:rPr>
        <w:t xml:space="preserve"> dans la version </w:t>
      </w:r>
      <w:r w:rsidR="002141B2" w:rsidRPr="00B97265">
        <w:rPr>
          <w:rFonts w:ascii="Arial" w:hAnsi="Arial" w:cs="Arial"/>
        </w:rPr>
        <w:t xml:space="preserve">des textes </w:t>
      </w:r>
      <w:r w:rsidR="003E4498" w:rsidRPr="00B97265">
        <w:rPr>
          <w:rFonts w:ascii="Arial" w:hAnsi="Arial" w:cs="Arial"/>
        </w:rPr>
        <w:t>avant 2000</w:t>
      </w:r>
      <w:r w:rsidR="004303F3">
        <w:rPr>
          <w:rFonts w:ascii="Arial" w:hAnsi="Arial" w:cs="Arial"/>
        </w:rPr>
        <w:t xml:space="preserve"> et depuis un décret du 7/07/ 1977</w:t>
      </w:r>
      <w:r w:rsidR="002141B2" w:rsidRPr="00B97265">
        <w:rPr>
          <w:rFonts w:ascii="Arial" w:hAnsi="Arial" w:cs="Arial"/>
        </w:rPr>
        <w:t xml:space="preserve"> </w:t>
      </w:r>
      <w:r w:rsidR="004303F3">
        <w:rPr>
          <w:rFonts w:ascii="Arial" w:hAnsi="Arial" w:cs="Arial"/>
        </w:rPr>
        <w:t>pris en application de la loi de 1976 ayant institué le permis de démolir, applicable aux arretés de péril.</w:t>
      </w:r>
    </w:p>
    <w:p w14:paraId="2C05F064" w14:textId="5770BBC3" w:rsidR="000A3335" w:rsidRPr="00B97265" w:rsidRDefault="002141B2">
      <w:pPr>
        <w:pStyle w:val="Notedebasdepage"/>
        <w:rPr>
          <w:rFonts w:ascii="Arial" w:hAnsi="Arial" w:cs="Arial"/>
        </w:rPr>
      </w:pPr>
      <w:r w:rsidRPr="00B97265">
        <w:rPr>
          <w:rFonts w:ascii="Arial" w:hAnsi="Arial" w:cs="Arial"/>
        </w:rPr>
        <w:t>La loi ELAN n’a donc rien modifié mais écrit</w:t>
      </w:r>
      <w:r w:rsidR="00FB0654">
        <w:rPr>
          <w:rFonts w:ascii="Arial" w:hAnsi="Arial" w:cs="Arial"/>
        </w:rPr>
        <w:t xml:space="preserve">, mal, </w:t>
      </w:r>
      <w:r w:rsidRPr="00B97265">
        <w:rPr>
          <w:rFonts w:ascii="Arial" w:hAnsi="Arial" w:cs="Arial"/>
        </w:rPr>
        <w:t>dans la loi ce qui était déjà dans les</w:t>
      </w:r>
      <w:r w:rsidR="00665C3E" w:rsidRPr="00B97265">
        <w:rPr>
          <w:rFonts w:ascii="Arial" w:hAnsi="Arial" w:cs="Arial"/>
        </w:rPr>
        <w:t xml:space="preserve"> </w:t>
      </w:r>
      <w:r w:rsidRPr="00B97265">
        <w:rPr>
          <w:rFonts w:ascii="Arial" w:hAnsi="Arial" w:cs="Arial"/>
        </w:rPr>
        <w:t xml:space="preserve">décrets ! </w:t>
      </w:r>
      <w:r w:rsidR="003E4498" w:rsidRPr="00B97265">
        <w:rPr>
          <w:rFonts w:ascii="Arial" w:hAnsi="Arial" w:cs="Arial"/>
        </w:rPr>
        <w:t xml:space="preserve"> </w:t>
      </w:r>
    </w:p>
  </w:footnote>
  <w:footnote w:id="5">
    <w:p w14:paraId="2FB95E58" w14:textId="74C6A8B6" w:rsidR="00695149" w:rsidRPr="00697A08" w:rsidRDefault="00695149">
      <w:pPr>
        <w:pStyle w:val="Notedebasdepage"/>
        <w:rPr>
          <w:rFonts w:ascii="Arial" w:hAnsi="Arial" w:cs="Arial"/>
        </w:rPr>
      </w:pPr>
      <w:r w:rsidRPr="00697A08">
        <w:rPr>
          <w:rStyle w:val="Appelnotedebasdep"/>
          <w:rFonts w:ascii="Arial" w:hAnsi="Arial" w:cs="Arial"/>
        </w:rPr>
        <w:footnoteRef/>
      </w:r>
      <w:r w:rsidRPr="00697A08">
        <w:rPr>
          <w:rFonts w:ascii="Arial" w:hAnsi="Arial" w:cs="Arial"/>
        </w:rPr>
        <w:t xml:space="preserve"> Encore que la rédaction nouvelle du L511-1</w:t>
      </w:r>
      <w:r w:rsidR="002141B2" w:rsidRPr="00697A08">
        <w:rPr>
          <w:rFonts w:ascii="Arial" w:hAnsi="Arial" w:cs="Arial"/>
        </w:rPr>
        <w:t>9</w:t>
      </w:r>
      <w:r w:rsidRPr="00697A08">
        <w:rPr>
          <w:rFonts w:ascii="Arial" w:hAnsi="Arial" w:cs="Arial"/>
        </w:rPr>
        <w:t xml:space="preserve"> relatif aux situations urgentes d’insécurité soit ambiguë et peut permettre de faire plus que du provisoire, sous réserve d’une jurisprudence à venir …</w:t>
      </w:r>
    </w:p>
  </w:footnote>
  <w:footnote w:id="6">
    <w:p w14:paraId="0FAD1D5C" w14:textId="7214E390" w:rsidR="0032082F" w:rsidRPr="00697A08" w:rsidRDefault="0032082F" w:rsidP="0032082F">
      <w:pPr>
        <w:shd w:val="clear" w:color="auto" w:fill="FFFFFF"/>
        <w:spacing w:after="0" w:line="240" w:lineRule="auto"/>
        <w:rPr>
          <w:rFonts w:ascii="Arial" w:eastAsia="Times New Roman" w:hAnsi="Arial" w:cs="Arial"/>
          <w:sz w:val="20"/>
          <w:szCs w:val="20"/>
          <w:lang w:eastAsia="fr-FR"/>
        </w:rPr>
      </w:pPr>
      <w:r w:rsidRPr="00697A08">
        <w:rPr>
          <w:rStyle w:val="Appelnotedebasdep"/>
          <w:rFonts w:ascii="Arial" w:hAnsi="Arial" w:cs="Arial"/>
          <w:sz w:val="20"/>
          <w:szCs w:val="20"/>
        </w:rPr>
        <w:footnoteRef/>
      </w:r>
      <w:r w:rsidRPr="00697A08">
        <w:rPr>
          <w:rFonts w:ascii="Arial" w:hAnsi="Arial" w:cs="Arial"/>
          <w:sz w:val="20"/>
          <w:szCs w:val="20"/>
        </w:rPr>
        <w:t xml:space="preserve"> Cet article concerne les SPR et les abords des MH en application du </w:t>
      </w:r>
      <w:hyperlink r:id="rId1" w:history="1">
        <w:r w:rsidRPr="00697A08">
          <w:rPr>
            <w:rFonts w:ascii="Arial" w:eastAsia="Times New Roman" w:hAnsi="Arial" w:cs="Arial"/>
            <w:sz w:val="20"/>
            <w:szCs w:val="20"/>
            <w:lang w:eastAsia="fr-FR"/>
          </w:rPr>
          <w:t xml:space="preserve"> L621-32</w:t>
        </w:r>
      </w:hyperlink>
      <w:r w:rsidR="007A7166" w:rsidRPr="00697A08">
        <w:rPr>
          <w:rFonts w:ascii="Arial" w:eastAsia="Times New Roman" w:hAnsi="Arial" w:cs="Arial"/>
          <w:sz w:val="20"/>
          <w:szCs w:val="20"/>
          <w:lang w:eastAsia="fr-FR"/>
        </w:rPr>
        <w:t xml:space="preserve"> du code du patrimoine</w:t>
      </w:r>
    </w:p>
    <w:p w14:paraId="7F4C05BF" w14:textId="77777777" w:rsidR="0032082F" w:rsidRPr="00697A08" w:rsidRDefault="0032082F">
      <w:pPr>
        <w:pStyle w:val="Notedebasdepage"/>
        <w:rPr>
          <w:rFonts w:ascii="Arial" w:hAnsi="Arial" w:cs="Arial"/>
        </w:rPr>
      </w:pPr>
    </w:p>
  </w:footnote>
  <w:footnote w:id="7">
    <w:p w14:paraId="36630DD8" w14:textId="4491D038" w:rsidR="00437A05" w:rsidRPr="00697A08" w:rsidRDefault="00437A05">
      <w:pPr>
        <w:pStyle w:val="Notedebasdepage"/>
        <w:rPr>
          <w:rFonts w:ascii="Arial" w:hAnsi="Arial" w:cs="Arial"/>
        </w:rPr>
      </w:pPr>
      <w:r w:rsidRPr="00697A08">
        <w:rPr>
          <w:rStyle w:val="Appelnotedebasdep"/>
          <w:rFonts w:ascii="Arial" w:hAnsi="Arial" w:cs="Arial"/>
        </w:rPr>
        <w:footnoteRef/>
      </w:r>
      <w:r w:rsidRPr="00697A08">
        <w:rPr>
          <w:rFonts w:ascii="Arial" w:hAnsi="Arial" w:cs="Arial"/>
        </w:rPr>
        <w:t xml:space="preserve"> Le R511-4 vise tous les arretés de péril/insécurité et insalubrité, que ceux-ci prescrivent des travaux de réparation, de démolition ou une interdiction définitive à tout usage</w:t>
      </w:r>
    </w:p>
  </w:footnote>
  <w:footnote w:id="8">
    <w:p w14:paraId="472845F1" w14:textId="77777777" w:rsidR="00437A05" w:rsidRPr="00697A08" w:rsidRDefault="00437A05">
      <w:pPr>
        <w:pStyle w:val="Notedebasdepage"/>
        <w:rPr>
          <w:rFonts w:ascii="Arial" w:hAnsi="Arial" w:cs="Arial"/>
        </w:rPr>
      </w:pPr>
    </w:p>
    <w:p w14:paraId="22855A7D" w14:textId="28EDD59A" w:rsidR="009605C1" w:rsidRPr="00697A08" w:rsidRDefault="009605C1">
      <w:pPr>
        <w:pStyle w:val="Notedebasdepage"/>
        <w:rPr>
          <w:rFonts w:ascii="Arial" w:hAnsi="Arial" w:cs="Arial"/>
        </w:rPr>
      </w:pPr>
      <w:r w:rsidRPr="00697A08">
        <w:rPr>
          <w:rStyle w:val="Appelnotedebasdep"/>
          <w:rFonts w:ascii="Arial" w:hAnsi="Arial" w:cs="Arial"/>
        </w:rPr>
        <w:footnoteRef/>
      </w:r>
      <w:r w:rsidR="0021605D" w:rsidRPr="00697A08">
        <w:rPr>
          <w:rFonts w:ascii="Arial" w:hAnsi="Arial" w:cs="Arial"/>
        </w:rPr>
        <w:t xml:space="preserve"> Voir la note 3 </w:t>
      </w:r>
    </w:p>
    <w:p w14:paraId="7E1AAA2E" w14:textId="77777777" w:rsidR="0021605D" w:rsidRPr="00697A08" w:rsidRDefault="0021605D">
      <w:pPr>
        <w:pStyle w:val="Notedebasdepage"/>
        <w:rPr>
          <w:rFonts w:ascii="Arial" w:hAnsi="Arial" w:cs="Arial"/>
        </w:rPr>
      </w:pPr>
    </w:p>
  </w:footnote>
  <w:footnote w:id="9">
    <w:p w14:paraId="28A069F7" w14:textId="5AB7EB5C" w:rsidR="007C290A" w:rsidRPr="00697A08" w:rsidRDefault="007C290A">
      <w:pPr>
        <w:pStyle w:val="Notedebasdepage"/>
        <w:rPr>
          <w:rFonts w:ascii="Arial" w:hAnsi="Arial" w:cs="Arial"/>
        </w:rPr>
      </w:pPr>
      <w:r w:rsidRPr="00697A08">
        <w:rPr>
          <w:rStyle w:val="Appelnotedebasdep"/>
          <w:rFonts w:ascii="Arial" w:hAnsi="Arial" w:cs="Arial"/>
        </w:rPr>
        <w:footnoteRef/>
      </w:r>
      <w:r w:rsidRPr="00697A08">
        <w:rPr>
          <w:rFonts w:ascii="Arial" w:hAnsi="Arial" w:cs="Arial"/>
        </w:rPr>
        <w:t xml:space="preserve"> </w:t>
      </w:r>
      <w:r w:rsidR="00C05C21" w:rsidRPr="00697A08">
        <w:rPr>
          <w:rFonts w:ascii="Arial" w:hAnsi="Arial" w:cs="Arial"/>
        </w:rPr>
        <w:t xml:space="preserve">Les seules mesures qui peuvent etre prévues par un arrêté de type irrémédiable concernent la sécurité publique (empêcher l’intrusion, mettre des barricades) </w:t>
      </w:r>
    </w:p>
  </w:footnote>
  <w:footnote w:id="10">
    <w:p w14:paraId="119ED2F7" w14:textId="34A5A212" w:rsidR="00465009" w:rsidRDefault="00465009">
      <w:pPr>
        <w:pStyle w:val="Notedebasdepage"/>
      </w:pPr>
      <w:r>
        <w:rPr>
          <w:rStyle w:val="Appelnotedebasdep"/>
        </w:rPr>
        <w:footnoteRef/>
      </w:r>
      <w:r>
        <w:t xml:space="preserve"> </w:t>
      </w:r>
      <w:proofErr w:type="gramStart"/>
      <w:r>
        <w:rPr>
          <w:rFonts w:ascii="Arial" w:hAnsi="Arial" w:cs="Arial"/>
        </w:rPr>
        <w:t>et</w:t>
      </w:r>
      <w:proofErr w:type="gramEnd"/>
      <w:r>
        <w:rPr>
          <w:rFonts w:ascii="Arial" w:hAnsi="Arial" w:cs="Arial"/>
        </w:rPr>
        <w:t xml:space="preserve"> partiellement et de façon limitée de travaux confortatifs en cas de réhabilitation lourde</w:t>
      </w:r>
    </w:p>
  </w:footnote>
  <w:footnote w:id="11">
    <w:p w14:paraId="553E68B0" w14:textId="77777777" w:rsidR="00164ABD" w:rsidRPr="00697A08" w:rsidRDefault="00164ABD">
      <w:pPr>
        <w:pStyle w:val="Notedebasdepage"/>
        <w:rPr>
          <w:rFonts w:ascii="Arial" w:hAnsi="Arial" w:cs="Arial"/>
        </w:rPr>
      </w:pPr>
      <w:r w:rsidRPr="00697A08">
        <w:rPr>
          <w:rStyle w:val="Appelnotedebasdep"/>
          <w:rFonts w:ascii="Arial" w:hAnsi="Arial" w:cs="Arial"/>
        </w:rPr>
        <w:footnoteRef/>
      </w:r>
      <w:r w:rsidRPr="00697A08">
        <w:rPr>
          <w:rFonts w:ascii="Arial" w:hAnsi="Arial" w:cs="Arial"/>
        </w:rPr>
        <w:t xml:space="preserve"> Qui couvre les bidonvilles et </w:t>
      </w:r>
      <w:r w:rsidR="00ED2883" w:rsidRPr="00697A08">
        <w:rPr>
          <w:rFonts w:ascii="Arial" w:hAnsi="Arial" w:cs="Arial"/>
        </w:rPr>
        <w:t>autres</w:t>
      </w:r>
      <w:r w:rsidRPr="00697A08">
        <w:rPr>
          <w:rFonts w:ascii="Arial" w:hAnsi="Arial" w:cs="Arial"/>
        </w:rPr>
        <w:t xml:space="preserve"> situations </w:t>
      </w:r>
      <w:r w:rsidR="00ED2883" w:rsidRPr="00697A08">
        <w:rPr>
          <w:rFonts w:ascii="Arial" w:hAnsi="Arial" w:cs="Arial"/>
        </w:rPr>
        <w:t xml:space="preserve">dites </w:t>
      </w:r>
      <w:r w:rsidRPr="00697A08">
        <w:rPr>
          <w:rFonts w:ascii="Arial" w:hAnsi="Arial" w:cs="Arial"/>
        </w:rPr>
        <w:t>irrémédiables ; article issu de la loi Vivien de 1970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43C"/>
    <w:multiLevelType w:val="hybridMultilevel"/>
    <w:tmpl w:val="0B0AD434"/>
    <w:lvl w:ilvl="0" w:tplc="C1D8FAE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94236E"/>
    <w:multiLevelType w:val="hybridMultilevel"/>
    <w:tmpl w:val="F78C36CA"/>
    <w:lvl w:ilvl="0" w:tplc="848C8FEC">
      <w:numFmt w:val="bullet"/>
      <w:lvlText w:val="-"/>
      <w:lvlJc w:val="left"/>
      <w:pPr>
        <w:ind w:left="1065" w:hanging="360"/>
      </w:pPr>
      <w:rPr>
        <w:rFonts w:ascii="Arial" w:eastAsia="Times New Roman" w:hAnsi="Arial" w:cs="Arial" w:hint="default"/>
        <w:u w:val="single"/>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15:restartNumberingAfterBreak="0">
    <w:nsid w:val="2CD9380D"/>
    <w:multiLevelType w:val="hybridMultilevel"/>
    <w:tmpl w:val="EFD0C604"/>
    <w:lvl w:ilvl="0" w:tplc="159C5D52">
      <w:start w:val="1"/>
      <w:numFmt w:val="bullet"/>
      <w:lvlText w:val="•"/>
      <w:lvlJc w:val="left"/>
      <w:pPr>
        <w:tabs>
          <w:tab w:val="num" w:pos="720"/>
        </w:tabs>
        <w:ind w:left="720" w:hanging="360"/>
      </w:pPr>
      <w:rPr>
        <w:rFonts w:ascii="Arial" w:hAnsi="Arial" w:hint="default"/>
      </w:rPr>
    </w:lvl>
    <w:lvl w:ilvl="1" w:tplc="7500E60C">
      <w:start w:val="2136"/>
      <w:numFmt w:val="bullet"/>
      <w:lvlText w:val="–"/>
      <w:lvlJc w:val="left"/>
      <w:pPr>
        <w:tabs>
          <w:tab w:val="num" w:pos="1440"/>
        </w:tabs>
        <w:ind w:left="1440" w:hanging="360"/>
      </w:pPr>
      <w:rPr>
        <w:rFonts w:ascii="Arial" w:hAnsi="Arial" w:hint="default"/>
      </w:rPr>
    </w:lvl>
    <w:lvl w:ilvl="2" w:tplc="1D664668">
      <w:start w:val="2136"/>
      <w:numFmt w:val="bullet"/>
      <w:lvlText w:val="•"/>
      <w:lvlJc w:val="left"/>
      <w:pPr>
        <w:tabs>
          <w:tab w:val="num" w:pos="2160"/>
        </w:tabs>
        <w:ind w:left="2160" w:hanging="360"/>
      </w:pPr>
      <w:rPr>
        <w:rFonts w:ascii="Arial" w:hAnsi="Arial" w:hint="default"/>
      </w:rPr>
    </w:lvl>
    <w:lvl w:ilvl="3" w:tplc="9A541BA4" w:tentative="1">
      <w:start w:val="1"/>
      <w:numFmt w:val="bullet"/>
      <w:lvlText w:val="•"/>
      <w:lvlJc w:val="left"/>
      <w:pPr>
        <w:tabs>
          <w:tab w:val="num" w:pos="2880"/>
        </w:tabs>
        <w:ind w:left="2880" w:hanging="360"/>
      </w:pPr>
      <w:rPr>
        <w:rFonts w:ascii="Arial" w:hAnsi="Arial" w:hint="default"/>
      </w:rPr>
    </w:lvl>
    <w:lvl w:ilvl="4" w:tplc="AA8E8F0C" w:tentative="1">
      <w:start w:val="1"/>
      <w:numFmt w:val="bullet"/>
      <w:lvlText w:val="•"/>
      <w:lvlJc w:val="left"/>
      <w:pPr>
        <w:tabs>
          <w:tab w:val="num" w:pos="3600"/>
        </w:tabs>
        <w:ind w:left="3600" w:hanging="360"/>
      </w:pPr>
      <w:rPr>
        <w:rFonts w:ascii="Arial" w:hAnsi="Arial" w:hint="default"/>
      </w:rPr>
    </w:lvl>
    <w:lvl w:ilvl="5" w:tplc="256E660E" w:tentative="1">
      <w:start w:val="1"/>
      <w:numFmt w:val="bullet"/>
      <w:lvlText w:val="•"/>
      <w:lvlJc w:val="left"/>
      <w:pPr>
        <w:tabs>
          <w:tab w:val="num" w:pos="4320"/>
        </w:tabs>
        <w:ind w:left="4320" w:hanging="360"/>
      </w:pPr>
      <w:rPr>
        <w:rFonts w:ascii="Arial" w:hAnsi="Arial" w:hint="default"/>
      </w:rPr>
    </w:lvl>
    <w:lvl w:ilvl="6" w:tplc="B3123DF8" w:tentative="1">
      <w:start w:val="1"/>
      <w:numFmt w:val="bullet"/>
      <w:lvlText w:val="•"/>
      <w:lvlJc w:val="left"/>
      <w:pPr>
        <w:tabs>
          <w:tab w:val="num" w:pos="5040"/>
        </w:tabs>
        <w:ind w:left="5040" w:hanging="360"/>
      </w:pPr>
      <w:rPr>
        <w:rFonts w:ascii="Arial" w:hAnsi="Arial" w:hint="default"/>
      </w:rPr>
    </w:lvl>
    <w:lvl w:ilvl="7" w:tplc="A4C20F80" w:tentative="1">
      <w:start w:val="1"/>
      <w:numFmt w:val="bullet"/>
      <w:lvlText w:val="•"/>
      <w:lvlJc w:val="left"/>
      <w:pPr>
        <w:tabs>
          <w:tab w:val="num" w:pos="5760"/>
        </w:tabs>
        <w:ind w:left="5760" w:hanging="360"/>
      </w:pPr>
      <w:rPr>
        <w:rFonts w:ascii="Arial" w:hAnsi="Arial" w:hint="default"/>
      </w:rPr>
    </w:lvl>
    <w:lvl w:ilvl="8" w:tplc="ED241B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549381F"/>
    <w:multiLevelType w:val="hybridMultilevel"/>
    <w:tmpl w:val="B78E5FD8"/>
    <w:lvl w:ilvl="0" w:tplc="B67C3CC4">
      <w:numFmt w:val="bullet"/>
      <w:lvlText w:val="-"/>
      <w:lvlJc w:val="left"/>
      <w:pPr>
        <w:ind w:left="1425" w:hanging="360"/>
      </w:pPr>
      <w:rPr>
        <w:rFonts w:ascii="Arial" w:eastAsia="Times New Roman" w:hAnsi="Arial" w:cs="Aria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 w15:restartNumberingAfterBreak="0">
    <w:nsid w:val="7C9F2420"/>
    <w:multiLevelType w:val="hybridMultilevel"/>
    <w:tmpl w:val="8728A934"/>
    <w:lvl w:ilvl="0" w:tplc="05FC01C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92525797">
    <w:abstractNumId w:val="1"/>
  </w:num>
  <w:num w:numId="2" w16cid:durableId="2125071966">
    <w:abstractNumId w:val="3"/>
  </w:num>
  <w:num w:numId="3" w16cid:durableId="125858487">
    <w:abstractNumId w:val="0"/>
  </w:num>
  <w:num w:numId="4" w16cid:durableId="1840271048">
    <w:abstractNumId w:val="4"/>
  </w:num>
  <w:num w:numId="5" w16cid:durableId="317808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85"/>
    <w:rsid w:val="00053D93"/>
    <w:rsid w:val="000765B1"/>
    <w:rsid w:val="00083B81"/>
    <w:rsid w:val="00094C98"/>
    <w:rsid w:val="000A3335"/>
    <w:rsid w:val="000B4562"/>
    <w:rsid w:val="000F5A83"/>
    <w:rsid w:val="00164ABD"/>
    <w:rsid w:val="001943F6"/>
    <w:rsid w:val="00206C10"/>
    <w:rsid w:val="002141B2"/>
    <w:rsid w:val="0021605D"/>
    <w:rsid w:val="00216618"/>
    <w:rsid w:val="00227FB3"/>
    <w:rsid w:val="00243FEB"/>
    <w:rsid w:val="00253781"/>
    <w:rsid w:val="00293477"/>
    <w:rsid w:val="002A0854"/>
    <w:rsid w:val="002C7EA6"/>
    <w:rsid w:val="002D3281"/>
    <w:rsid w:val="0032082F"/>
    <w:rsid w:val="003B3CB7"/>
    <w:rsid w:val="003B5333"/>
    <w:rsid w:val="003B5D6A"/>
    <w:rsid w:val="003C7F89"/>
    <w:rsid w:val="003D2ECC"/>
    <w:rsid w:val="003E4498"/>
    <w:rsid w:val="003F5211"/>
    <w:rsid w:val="003F6863"/>
    <w:rsid w:val="0040249F"/>
    <w:rsid w:val="004303F3"/>
    <w:rsid w:val="00437A05"/>
    <w:rsid w:val="0045030A"/>
    <w:rsid w:val="00465009"/>
    <w:rsid w:val="004D76B1"/>
    <w:rsid w:val="00516013"/>
    <w:rsid w:val="00520D03"/>
    <w:rsid w:val="00563C04"/>
    <w:rsid w:val="005723B4"/>
    <w:rsid w:val="005863FA"/>
    <w:rsid w:val="0059548B"/>
    <w:rsid w:val="005D26C5"/>
    <w:rsid w:val="005E417F"/>
    <w:rsid w:val="00611BA5"/>
    <w:rsid w:val="006250F5"/>
    <w:rsid w:val="00627FCA"/>
    <w:rsid w:val="00651BB4"/>
    <w:rsid w:val="006526A4"/>
    <w:rsid w:val="00665C3E"/>
    <w:rsid w:val="0066622E"/>
    <w:rsid w:val="00695149"/>
    <w:rsid w:val="00697540"/>
    <w:rsid w:val="00697A08"/>
    <w:rsid w:val="006A2D12"/>
    <w:rsid w:val="006B1F02"/>
    <w:rsid w:val="007536F1"/>
    <w:rsid w:val="007A7166"/>
    <w:rsid w:val="007B0193"/>
    <w:rsid w:val="007C290A"/>
    <w:rsid w:val="007E50E0"/>
    <w:rsid w:val="008F038F"/>
    <w:rsid w:val="009418C4"/>
    <w:rsid w:val="009448BF"/>
    <w:rsid w:val="009605C1"/>
    <w:rsid w:val="00971F6D"/>
    <w:rsid w:val="009844E3"/>
    <w:rsid w:val="00986C4A"/>
    <w:rsid w:val="009910CD"/>
    <w:rsid w:val="00991993"/>
    <w:rsid w:val="00993E53"/>
    <w:rsid w:val="009C1227"/>
    <w:rsid w:val="009D16EA"/>
    <w:rsid w:val="009D5ADD"/>
    <w:rsid w:val="00A72F9B"/>
    <w:rsid w:val="00A842CC"/>
    <w:rsid w:val="00A90EB4"/>
    <w:rsid w:val="00AA6437"/>
    <w:rsid w:val="00AD394B"/>
    <w:rsid w:val="00AD6555"/>
    <w:rsid w:val="00B16557"/>
    <w:rsid w:val="00B22363"/>
    <w:rsid w:val="00B33399"/>
    <w:rsid w:val="00B52C68"/>
    <w:rsid w:val="00B75BDF"/>
    <w:rsid w:val="00B8264C"/>
    <w:rsid w:val="00B97265"/>
    <w:rsid w:val="00BB2F71"/>
    <w:rsid w:val="00BC096B"/>
    <w:rsid w:val="00BC2A59"/>
    <w:rsid w:val="00C05C21"/>
    <w:rsid w:val="00C406BC"/>
    <w:rsid w:val="00C8083D"/>
    <w:rsid w:val="00CB6537"/>
    <w:rsid w:val="00CC0FF4"/>
    <w:rsid w:val="00CC7585"/>
    <w:rsid w:val="00CF5F13"/>
    <w:rsid w:val="00D013AE"/>
    <w:rsid w:val="00D023F9"/>
    <w:rsid w:val="00D122D8"/>
    <w:rsid w:val="00D3797C"/>
    <w:rsid w:val="00D42C5C"/>
    <w:rsid w:val="00D50885"/>
    <w:rsid w:val="00D722B7"/>
    <w:rsid w:val="00DC25B5"/>
    <w:rsid w:val="00DD369B"/>
    <w:rsid w:val="00DD3BCA"/>
    <w:rsid w:val="00E264A0"/>
    <w:rsid w:val="00E5579B"/>
    <w:rsid w:val="00E835E7"/>
    <w:rsid w:val="00E95A30"/>
    <w:rsid w:val="00EC5A6D"/>
    <w:rsid w:val="00EC5F1A"/>
    <w:rsid w:val="00ED2883"/>
    <w:rsid w:val="00F075DB"/>
    <w:rsid w:val="00F121C9"/>
    <w:rsid w:val="00F16588"/>
    <w:rsid w:val="00F44C72"/>
    <w:rsid w:val="00F75589"/>
    <w:rsid w:val="00F87BC9"/>
    <w:rsid w:val="00FB06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BCF2E"/>
  <w15:docId w15:val="{9EC75389-4F0E-429D-B2C7-91B5DB93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D0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2363"/>
    <w:pPr>
      <w:ind w:left="720"/>
      <w:contextualSpacing/>
    </w:pPr>
  </w:style>
  <w:style w:type="paragraph" w:styleId="Notedebasdepage">
    <w:name w:val="footnote text"/>
    <w:basedOn w:val="Normal"/>
    <w:link w:val="NotedebasdepageCar"/>
    <w:uiPriority w:val="99"/>
    <w:semiHidden/>
    <w:unhideWhenUsed/>
    <w:rsid w:val="009605C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605C1"/>
    <w:rPr>
      <w:sz w:val="20"/>
      <w:szCs w:val="20"/>
    </w:rPr>
  </w:style>
  <w:style w:type="character" w:styleId="Appelnotedebasdep">
    <w:name w:val="footnote reference"/>
    <w:basedOn w:val="Policepardfaut"/>
    <w:uiPriority w:val="99"/>
    <w:semiHidden/>
    <w:unhideWhenUsed/>
    <w:rsid w:val="009605C1"/>
    <w:rPr>
      <w:vertAlign w:val="superscript"/>
    </w:rPr>
  </w:style>
  <w:style w:type="character" w:styleId="Lienhypertexte">
    <w:name w:val="Hyperlink"/>
    <w:basedOn w:val="Policepardfaut"/>
    <w:uiPriority w:val="99"/>
    <w:semiHidden/>
    <w:unhideWhenUsed/>
    <w:rsid w:val="00627FCA"/>
    <w:rPr>
      <w:color w:val="0000FF"/>
      <w:u w:val="single"/>
    </w:rPr>
  </w:style>
  <w:style w:type="paragraph" w:customStyle="1" w:styleId="name-article">
    <w:name w:val="name-article"/>
    <w:basedOn w:val="Normal"/>
    <w:rsid w:val="007E50E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1">
    <w:name w:val="Date1"/>
    <w:basedOn w:val="Normal"/>
    <w:rsid w:val="007E50E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7E50E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3C7F89"/>
    <w:pPr>
      <w:tabs>
        <w:tab w:val="center" w:pos="4536"/>
        <w:tab w:val="right" w:pos="9072"/>
      </w:tabs>
      <w:spacing w:after="0" w:line="240" w:lineRule="auto"/>
    </w:pPr>
  </w:style>
  <w:style w:type="character" w:customStyle="1" w:styleId="En-tteCar">
    <w:name w:val="En-tête Car"/>
    <w:basedOn w:val="Policepardfaut"/>
    <w:link w:val="En-tte"/>
    <w:uiPriority w:val="99"/>
    <w:rsid w:val="003C7F89"/>
  </w:style>
  <w:style w:type="paragraph" w:styleId="Pieddepage">
    <w:name w:val="footer"/>
    <w:basedOn w:val="Normal"/>
    <w:link w:val="PieddepageCar"/>
    <w:uiPriority w:val="99"/>
    <w:unhideWhenUsed/>
    <w:rsid w:val="003C7F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7F89"/>
  </w:style>
  <w:style w:type="paragraph" w:customStyle="1" w:styleId="Default">
    <w:name w:val="Default"/>
    <w:rsid w:val="00AD655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73824">
      <w:bodyDiv w:val="1"/>
      <w:marLeft w:val="0"/>
      <w:marRight w:val="0"/>
      <w:marTop w:val="0"/>
      <w:marBottom w:val="0"/>
      <w:divBdr>
        <w:top w:val="none" w:sz="0" w:space="0" w:color="auto"/>
        <w:left w:val="none" w:sz="0" w:space="0" w:color="auto"/>
        <w:bottom w:val="none" w:sz="0" w:space="0" w:color="auto"/>
        <w:right w:val="none" w:sz="0" w:space="0" w:color="auto"/>
      </w:divBdr>
    </w:div>
    <w:div w:id="347099358">
      <w:bodyDiv w:val="1"/>
      <w:marLeft w:val="0"/>
      <w:marRight w:val="0"/>
      <w:marTop w:val="0"/>
      <w:marBottom w:val="0"/>
      <w:divBdr>
        <w:top w:val="none" w:sz="0" w:space="0" w:color="auto"/>
        <w:left w:val="none" w:sz="0" w:space="0" w:color="auto"/>
        <w:bottom w:val="none" w:sz="0" w:space="0" w:color="auto"/>
        <w:right w:val="none" w:sz="0" w:space="0" w:color="auto"/>
      </w:divBdr>
    </w:div>
    <w:div w:id="378938136">
      <w:bodyDiv w:val="1"/>
      <w:marLeft w:val="0"/>
      <w:marRight w:val="0"/>
      <w:marTop w:val="0"/>
      <w:marBottom w:val="0"/>
      <w:divBdr>
        <w:top w:val="none" w:sz="0" w:space="0" w:color="auto"/>
        <w:left w:val="none" w:sz="0" w:space="0" w:color="auto"/>
        <w:bottom w:val="none" w:sz="0" w:space="0" w:color="auto"/>
        <w:right w:val="none" w:sz="0" w:space="0" w:color="auto"/>
      </w:divBdr>
      <w:divsChild>
        <w:div w:id="1502696831">
          <w:marLeft w:val="547"/>
          <w:marRight w:val="0"/>
          <w:marTop w:val="0"/>
          <w:marBottom w:val="0"/>
          <w:divBdr>
            <w:top w:val="none" w:sz="0" w:space="0" w:color="auto"/>
            <w:left w:val="none" w:sz="0" w:space="0" w:color="auto"/>
            <w:bottom w:val="none" w:sz="0" w:space="0" w:color="auto"/>
            <w:right w:val="none" w:sz="0" w:space="0" w:color="auto"/>
          </w:divBdr>
        </w:div>
        <w:div w:id="393552621">
          <w:marLeft w:val="1166"/>
          <w:marRight w:val="0"/>
          <w:marTop w:val="0"/>
          <w:marBottom w:val="0"/>
          <w:divBdr>
            <w:top w:val="none" w:sz="0" w:space="0" w:color="auto"/>
            <w:left w:val="none" w:sz="0" w:space="0" w:color="auto"/>
            <w:bottom w:val="none" w:sz="0" w:space="0" w:color="auto"/>
            <w:right w:val="none" w:sz="0" w:space="0" w:color="auto"/>
          </w:divBdr>
        </w:div>
        <w:div w:id="1962757308">
          <w:marLeft w:val="1166"/>
          <w:marRight w:val="0"/>
          <w:marTop w:val="0"/>
          <w:marBottom w:val="0"/>
          <w:divBdr>
            <w:top w:val="none" w:sz="0" w:space="0" w:color="auto"/>
            <w:left w:val="none" w:sz="0" w:space="0" w:color="auto"/>
            <w:bottom w:val="none" w:sz="0" w:space="0" w:color="auto"/>
            <w:right w:val="none" w:sz="0" w:space="0" w:color="auto"/>
          </w:divBdr>
        </w:div>
        <w:div w:id="1787964922">
          <w:marLeft w:val="1166"/>
          <w:marRight w:val="0"/>
          <w:marTop w:val="0"/>
          <w:marBottom w:val="0"/>
          <w:divBdr>
            <w:top w:val="none" w:sz="0" w:space="0" w:color="auto"/>
            <w:left w:val="none" w:sz="0" w:space="0" w:color="auto"/>
            <w:bottom w:val="none" w:sz="0" w:space="0" w:color="auto"/>
            <w:right w:val="none" w:sz="0" w:space="0" w:color="auto"/>
          </w:divBdr>
        </w:div>
        <w:div w:id="1531069996">
          <w:marLeft w:val="1166"/>
          <w:marRight w:val="0"/>
          <w:marTop w:val="0"/>
          <w:marBottom w:val="0"/>
          <w:divBdr>
            <w:top w:val="none" w:sz="0" w:space="0" w:color="auto"/>
            <w:left w:val="none" w:sz="0" w:space="0" w:color="auto"/>
            <w:bottom w:val="none" w:sz="0" w:space="0" w:color="auto"/>
            <w:right w:val="none" w:sz="0" w:space="0" w:color="auto"/>
          </w:divBdr>
        </w:div>
        <w:div w:id="644430071">
          <w:marLeft w:val="1800"/>
          <w:marRight w:val="0"/>
          <w:marTop w:val="0"/>
          <w:marBottom w:val="0"/>
          <w:divBdr>
            <w:top w:val="none" w:sz="0" w:space="0" w:color="auto"/>
            <w:left w:val="none" w:sz="0" w:space="0" w:color="auto"/>
            <w:bottom w:val="none" w:sz="0" w:space="0" w:color="auto"/>
            <w:right w:val="none" w:sz="0" w:space="0" w:color="auto"/>
          </w:divBdr>
        </w:div>
        <w:div w:id="1834372355">
          <w:marLeft w:val="1166"/>
          <w:marRight w:val="0"/>
          <w:marTop w:val="0"/>
          <w:marBottom w:val="0"/>
          <w:divBdr>
            <w:top w:val="none" w:sz="0" w:space="0" w:color="auto"/>
            <w:left w:val="none" w:sz="0" w:space="0" w:color="auto"/>
            <w:bottom w:val="none" w:sz="0" w:space="0" w:color="auto"/>
            <w:right w:val="none" w:sz="0" w:space="0" w:color="auto"/>
          </w:divBdr>
        </w:div>
      </w:divsChild>
    </w:div>
    <w:div w:id="1220627654">
      <w:bodyDiv w:val="1"/>
      <w:marLeft w:val="0"/>
      <w:marRight w:val="0"/>
      <w:marTop w:val="0"/>
      <w:marBottom w:val="0"/>
      <w:divBdr>
        <w:top w:val="none" w:sz="0" w:space="0" w:color="auto"/>
        <w:left w:val="none" w:sz="0" w:space="0" w:color="auto"/>
        <w:bottom w:val="none" w:sz="0" w:space="0" w:color="auto"/>
        <w:right w:val="none" w:sz="0" w:space="0" w:color="auto"/>
      </w:divBdr>
      <w:divsChild>
        <w:div w:id="1749575320">
          <w:marLeft w:val="0"/>
          <w:marRight w:val="0"/>
          <w:marTop w:val="0"/>
          <w:marBottom w:val="0"/>
          <w:divBdr>
            <w:top w:val="none" w:sz="0" w:space="0" w:color="auto"/>
            <w:left w:val="none" w:sz="0" w:space="0" w:color="auto"/>
            <w:bottom w:val="none" w:sz="0" w:space="0" w:color="auto"/>
            <w:right w:val="none" w:sz="0" w:space="0" w:color="auto"/>
          </w:divBdr>
        </w:div>
        <w:div w:id="169687833">
          <w:marLeft w:val="0"/>
          <w:marRight w:val="0"/>
          <w:marTop w:val="0"/>
          <w:marBottom w:val="0"/>
          <w:divBdr>
            <w:top w:val="none" w:sz="0" w:space="0" w:color="auto"/>
            <w:left w:val="none" w:sz="0" w:space="0" w:color="auto"/>
            <w:bottom w:val="none" w:sz="0" w:space="0" w:color="auto"/>
            <w:right w:val="none" w:sz="0" w:space="0" w:color="auto"/>
          </w:divBdr>
        </w:div>
      </w:divsChild>
    </w:div>
    <w:div w:id="1757898630">
      <w:bodyDiv w:val="1"/>
      <w:marLeft w:val="0"/>
      <w:marRight w:val="0"/>
      <w:marTop w:val="0"/>
      <w:marBottom w:val="0"/>
      <w:divBdr>
        <w:top w:val="none" w:sz="0" w:space="0" w:color="auto"/>
        <w:left w:val="none" w:sz="0" w:space="0" w:color="auto"/>
        <w:bottom w:val="none" w:sz="0" w:space="0" w:color="auto"/>
        <w:right w:val="none" w:sz="0" w:space="0" w:color="auto"/>
      </w:divBdr>
    </w:div>
    <w:div w:id="1896770422">
      <w:bodyDiv w:val="1"/>
      <w:marLeft w:val="0"/>
      <w:marRight w:val="0"/>
      <w:marTop w:val="0"/>
      <w:marBottom w:val="0"/>
      <w:divBdr>
        <w:top w:val="none" w:sz="0" w:space="0" w:color="auto"/>
        <w:left w:val="none" w:sz="0" w:space="0" w:color="auto"/>
        <w:bottom w:val="none" w:sz="0" w:space="0" w:color="auto"/>
        <w:right w:val="none" w:sz="0" w:space="0" w:color="auto"/>
      </w:divBdr>
    </w:div>
    <w:div w:id="206302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do?cidTexte=LEGITEXT000006074096&amp;dateTexte=&amp;categorieLien=cid" TargetMode="External"/><Relationship Id="rId13" Type="http://schemas.openxmlformats.org/officeDocument/2006/relationships/hyperlink" Target="https://www.legifrance.gouv.fr/affichCodeArticle.do?cidTexte=LEGITEXT000006074096&amp;idArticle=LEGIARTI000006825791&amp;dateTexte=&amp;categorieLien=ci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codes/article_lc/LEGIARTI00003904347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gifrance.gouv.fr/affichCodeArticle.do?cidTexte=LEGITEXT000006074096&amp;idArticle=LEGIARTI000006900442&amp;dateTexte=&amp;categorieLien=ci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4096&amp;idArticle=LEGIARTI000006825791&amp;dateTexte=&amp;categorieLien=cid" TargetMode="External"/><Relationship Id="rId5" Type="http://schemas.openxmlformats.org/officeDocument/2006/relationships/webSettings" Target="webSettings.xml"/><Relationship Id="rId15" Type="http://schemas.openxmlformats.org/officeDocument/2006/relationships/hyperlink" Target="https://www.legifrance.gouv.fr/affichCodeArticle.do?cidTexte=LEGITEXT000006074096&amp;idArticle=LEGIARTI000006825791&amp;dateTexte=&amp;categorieLien=cid" TargetMode="External"/><Relationship Id="rId10" Type="http://schemas.openxmlformats.org/officeDocument/2006/relationships/hyperlink" Target="https://www.legifrance.gouv.fr/affichCodeArticle.do?cidTexte=LEGITEXT000006074075&amp;idArticle=LEGIARTI000006815166&amp;dateTexte=&amp;categorieLien=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france.gouv.fr/affichCode.do?cidTexte=LEGITEXT000006072665&amp;dateTexte=&amp;categorieLien=cid" TargetMode="External"/><Relationship Id="rId14" Type="http://schemas.openxmlformats.org/officeDocument/2006/relationships/hyperlink" Target="https://www.legifrance.gouv.fr/codes/article_lc/LEGIARTI00003163619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france.gouv.fr/codes/article_lc/LEGIARTI000037667575?etatTexte=VIGUEUR&amp;etatTexte=VIGUEUR_DIF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2A1BA-BB3D-404B-8F63-824EB220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4004</Words>
  <Characters>22022</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bouche</dc:creator>
  <cp:lastModifiedBy>nancy bouche</cp:lastModifiedBy>
  <cp:revision>5</cp:revision>
  <cp:lastPrinted>2026-01-15T19:24:00Z</cp:lastPrinted>
  <dcterms:created xsi:type="dcterms:W3CDTF">2026-01-15T19:25:00Z</dcterms:created>
  <dcterms:modified xsi:type="dcterms:W3CDTF">2026-07-22T11:35:00Z</dcterms:modified>
</cp:coreProperties>
</file>