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6E40" w14:textId="77777777" w:rsidR="00EB1C4A" w:rsidRDefault="00EB1C4A" w:rsidP="00EB1C4A">
      <w:pPr>
        <w:shd w:val="clear" w:color="auto" w:fill="FFFFFF"/>
        <w:spacing w:after="120" w:line="240" w:lineRule="atLeast"/>
        <w:jc w:val="center"/>
        <w:rPr>
          <w:rFonts w:ascii="Arial" w:eastAsia="Times New Roman" w:hAnsi="Arial" w:cs="Arial"/>
          <w:b/>
          <w:color w:val="002060"/>
          <w:sz w:val="24"/>
          <w:szCs w:val="24"/>
          <w:lang w:eastAsia="fr-FR"/>
        </w:rPr>
      </w:pPr>
      <w:r w:rsidRPr="002F6148">
        <w:rPr>
          <w:rFonts w:ascii="Arial" w:eastAsia="Times New Roman" w:hAnsi="Arial" w:cs="Arial"/>
          <w:b/>
          <w:color w:val="002060"/>
          <w:sz w:val="24"/>
          <w:szCs w:val="24"/>
          <w:lang w:eastAsia="fr-FR"/>
        </w:rPr>
        <w:t>CODE DE L'EXPROPRIATION POUR CAUSE D'UTILITE PUBLIQUE</w:t>
      </w:r>
    </w:p>
    <w:p w14:paraId="705E78DB" w14:textId="77777777" w:rsidR="00CA366B" w:rsidRDefault="00CA366B" w:rsidP="00CA366B">
      <w:pPr>
        <w:shd w:val="clear" w:color="auto" w:fill="FFFFFF"/>
        <w:spacing w:after="120" w:line="240" w:lineRule="atLeast"/>
        <w:rPr>
          <w:rFonts w:ascii="Arial" w:eastAsia="Times New Roman" w:hAnsi="Arial" w:cs="Arial"/>
          <w:b/>
          <w:color w:val="002060"/>
          <w:sz w:val="24"/>
          <w:szCs w:val="24"/>
          <w:lang w:eastAsia="fr-FR"/>
        </w:rPr>
      </w:pPr>
    </w:p>
    <w:p w14:paraId="6715C45A" w14:textId="52409CEA" w:rsidR="00CA366B" w:rsidRPr="002F6148" w:rsidRDefault="00CA366B" w:rsidP="00CA366B">
      <w:pPr>
        <w:shd w:val="clear" w:color="auto" w:fill="FFFFFF"/>
        <w:spacing w:after="120" w:line="240" w:lineRule="atLeast"/>
        <w:rPr>
          <w:rFonts w:ascii="Arial" w:eastAsia="Times New Roman" w:hAnsi="Arial" w:cs="Arial"/>
          <w:b/>
          <w:color w:val="002060"/>
          <w:sz w:val="24"/>
          <w:szCs w:val="24"/>
          <w:lang w:eastAsia="fr-FR"/>
        </w:rPr>
      </w:pPr>
      <w:r>
        <w:rPr>
          <w:rFonts w:ascii="Arial" w:eastAsia="Times New Roman" w:hAnsi="Arial" w:cs="Arial"/>
          <w:b/>
          <w:color w:val="002060"/>
          <w:sz w:val="24"/>
          <w:szCs w:val="24"/>
          <w:lang w:eastAsia="fr-FR"/>
        </w:rPr>
        <w:t xml:space="preserve">PARTIE </w:t>
      </w:r>
      <w:r w:rsidRPr="00CA366B">
        <w:rPr>
          <w:rFonts w:ascii="Arial" w:eastAsia="Times New Roman" w:hAnsi="Arial" w:cs="Arial"/>
          <w:b/>
          <w:color w:val="002060"/>
          <w:sz w:val="24"/>
          <w:szCs w:val="24"/>
          <w:lang w:eastAsia="fr-FR"/>
        </w:rPr>
        <w:t>LEGISLATIVE</w:t>
      </w:r>
      <w:r>
        <w:rPr>
          <w:rFonts w:ascii="Arial" w:eastAsia="Times New Roman" w:hAnsi="Arial" w:cs="Arial"/>
          <w:b/>
          <w:color w:val="002060"/>
          <w:sz w:val="24"/>
          <w:szCs w:val="24"/>
          <w:lang w:eastAsia="fr-FR"/>
        </w:rPr>
        <w:t xml:space="preserve"> </w:t>
      </w:r>
    </w:p>
    <w:p w14:paraId="023F696A" w14:textId="77777777" w:rsidR="00EB1C4A" w:rsidRPr="00EB1C4A" w:rsidRDefault="00EB1C4A" w:rsidP="00EB1C4A">
      <w:pPr>
        <w:shd w:val="clear" w:color="auto" w:fill="FFFFFF"/>
        <w:spacing w:after="0" w:line="240" w:lineRule="auto"/>
        <w:rPr>
          <w:rFonts w:ascii="Arial" w:eastAsia="Times New Roman" w:hAnsi="Arial" w:cs="Arial"/>
          <w:color w:val="000000"/>
          <w:sz w:val="21"/>
          <w:szCs w:val="21"/>
          <w:lang w:eastAsia="fr-FR"/>
        </w:rPr>
      </w:pPr>
    </w:p>
    <w:p w14:paraId="55BBCB04" w14:textId="77777777" w:rsidR="00EB1C4A" w:rsidRPr="00EB1C4A" w:rsidRDefault="00EB1C4A" w:rsidP="00EB1C4A">
      <w:pPr>
        <w:pBdr>
          <w:left w:val="single" w:sz="36" w:space="11" w:color="D51622"/>
        </w:pBdr>
        <w:shd w:val="clear" w:color="auto" w:fill="F5F5F5"/>
        <w:spacing w:before="75" w:after="75" w:line="240" w:lineRule="auto"/>
        <w:jc w:val="center"/>
        <w:rPr>
          <w:rFonts w:ascii="Arial" w:eastAsia="Times New Roman" w:hAnsi="Arial" w:cs="Arial"/>
          <w:b/>
          <w:color w:val="002060"/>
          <w:sz w:val="21"/>
          <w:szCs w:val="21"/>
          <w:lang w:eastAsia="fr-FR"/>
        </w:rPr>
      </w:pPr>
      <w:r w:rsidRPr="00EB1C4A">
        <w:rPr>
          <w:rFonts w:ascii="Arial" w:eastAsia="Times New Roman" w:hAnsi="Arial" w:cs="Arial"/>
          <w:b/>
          <w:color w:val="002060"/>
          <w:sz w:val="24"/>
          <w:szCs w:val="24"/>
          <w:lang w:eastAsia="fr-FR"/>
        </w:rPr>
        <w:t>Chapitre Ier : Expropriation des immeubles indignes à titre irrémédiable (Articles L511-1 à L511-9)</w:t>
      </w:r>
    </w:p>
    <w:p w14:paraId="20684B8C" w14:textId="77777777" w:rsidR="00EB1C4A" w:rsidRDefault="00EB1C4A" w:rsidP="00EB1C4A">
      <w:pPr>
        <w:shd w:val="clear" w:color="auto" w:fill="FFFFFF"/>
        <w:spacing w:after="240" w:line="240" w:lineRule="auto"/>
        <w:rPr>
          <w:rFonts w:ascii="Arial" w:eastAsia="Times New Roman" w:hAnsi="Arial" w:cs="Arial"/>
          <w:b/>
          <w:bCs/>
          <w:color w:val="4A5E81"/>
          <w:sz w:val="21"/>
          <w:szCs w:val="21"/>
          <w:lang w:eastAsia="fr-FR"/>
        </w:rPr>
      </w:pPr>
    </w:p>
    <w:p w14:paraId="5C270456" w14:textId="77777777" w:rsidR="00EB1C4A" w:rsidRPr="00EB1C4A" w:rsidRDefault="00EB1C4A" w:rsidP="00EB1C4A">
      <w:pPr>
        <w:shd w:val="clear" w:color="auto" w:fill="FFFFFF"/>
        <w:spacing w:after="240" w:line="240" w:lineRule="auto"/>
        <w:rPr>
          <w:rFonts w:ascii="Arial" w:eastAsia="Times New Roman" w:hAnsi="Arial" w:cs="Arial"/>
          <w:bCs/>
          <w:i/>
          <w:color w:val="4A5E81"/>
          <w:lang w:eastAsia="fr-FR"/>
        </w:rPr>
      </w:pPr>
      <w:hyperlink r:id="rId7" w:history="1">
        <w:r w:rsidRPr="00EB1C4A">
          <w:rPr>
            <w:rFonts w:ascii="Arial" w:eastAsia="Times New Roman" w:hAnsi="Arial" w:cs="Arial"/>
            <w:b/>
            <w:bCs/>
            <w:color w:val="4A5E81"/>
            <w:u w:val="single"/>
            <w:lang w:eastAsia="fr-FR"/>
          </w:rPr>
          <w:t>Article L511-1</w:t>
        </w:r>
      </w:hyperlink>
      <w:r>
        <w:rPr>
          <w:rFonts w:ascii="Arial" w:eastAsia="Times New Roman" w:hAnsi="Arial" w:cs="Arial"/>
          <w:b/>
          <w:bCs/>
          <w:color w:val="4A5E81"/>
          <w:lang w:eastAsia="fr-FR"/>
        </w:rPr>
        <w:t xml:space="preserve">/ </w:t>
      </w:r>
      <w:r w:rsidRPr="00EB1C4A">
        <w:rPr>
          <w:rFonts w:ascii="Arial" w:hAnsi="Arial" w:cs="Arial"/>
          <w:bCs/>
          <w:i/>
          <w:color w:val="2E3B50"/>
          <w:sz w:val="21"/>
          <w:szCs w:val="21"/>
          <w:shd w:val="clear" w:color="auto" w:fill="FFFFFF"/>
        </w:rPr>
        <w:t>Modifié par LOI n°2024-322 du 9 avril 2024 - art. 45</w:t>
      </w:r>
    </w:p>
    <w:p w14:paraId="5FDE4636"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Peut être poursuivie, dans les conditions prévues aux articles </w:t>
      </w:r>
      <w:hyperlink r:id="rId8" w:history="1">
        <w:r w:rsidRPr="00EB1C4A">
          <w:rPr>
            <w:rFonts w:ascii="Arial" w:eastAsia="Times New Roman" w:hAnsi="Arial" w:cs="Arial"/>
            <w:color w:val="4A5E81"/>
            <w:u w:val="single"/>
            <w:lang w:eastAsia="fr-FR"/>
          </w:rPr>
          <w:t>L. 511-2 à L. 511-9</w:t>
        </w:r>
      </w:hyperlink>
      <w:r w:rsidRPr="00EB1C4A">
        <w:rPr>
          <w:rFonts w:ascii="Arial" w:eastAsia="Times New Roman" w:hAnsi="Arial" w:cs="Arial"/>
          <w:color w:val="000000"/>
          <w:lang w:eastAsia="fr-FR"/>
        </w:rPr>
        <w:t>, au profit de l'État, d'une société de construction dans laquelle l'État détient la majorité du capital, d'une collectivité territoriale, d'un organisme y ayant vocation ou d'un concessionnaire d'une opération d'aménagement mentionné à l'</w:t>
      </w:r>
      <w:hyperlink r:id="rId9" w:history="1">
        <w:r>
          <w:rPr>
            <w:rFonts w:ascii="Arial" w:eastAsia="Times New Roman" w:hAnsi="Arial" w:cs="Arial"/>
            <w:color w:val="4A5E81"/>
            <w:u w:val="single"/>
            <w:lang w:eastAsia="fr-FR"/>
          </w:rPr>
          <w:t>article L.</w:t>
        </w:r>
        <w:r w:rsidRPr="00EB1C4A">
          <w:rPr>
            <w:rFonts w:ascii="Arial" w:eastAsia="Times New Roman" w:hAnsi="Arial" w:cs="Arial"/>
            <w:color w:val="4A5E81"/>
            <w:u w:val="single"/>
            <w:lang w:eastAsia="fr-FR"/>
          </w:rPr>
          <w:t>300-4 du code de l'urbanisme</w:t>
        </w:r>
      </w:hyperlink>
      <w:r w:rsidRPr="00EB1C4A">
        <w:rPr>
          <w:rFonts w:ascii="Arial" w:eastAsia="Times New Roman" w:hAnsi="Arial" w:cs="Arial"/>
          <w:color w:val="000000"/>
          <w:lang w:eastAsia="fr-FR"/>
        </w:rPr>
        <w:t>, l'expropriation :</w:t>
      </w:r>
    </w:p>
    <w:p w14:paraId="6D385FD4"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1° Des immeubles ayant fait l'objet d'un arrêté de mise en sécurité ou de traitement de l'insalubrité pris</w:t>
      </w:r>
      <w:r>
        <w:rPr>
          <w:rFonts w:ascii="Arial" w:eastAsia="Times New Roman" w:hAnsi="Arial" w:cs="Arial"/>
          <w:color w:val="000000"/>
          <w:lang w:eastAsia="fr-FR"/>
        </w:rPr>
        <w:t xml:space="preserve"> en application de l'article L.</w:t>
      </w:r>
      <w:r w:rsidRPr="00EB1C4A">
        <w:rPr>
          <w:rFonts w:ascii="Arial" w:eastAsia="Times New Roman" w:hAnsi="Arial" w:cs="Arial"/>
          <w:color w:val="000000"/>
          <w:lang w:eastAsia="fr-FR"/>
        </w:rPr>
        <w:t xml:space="preserve">511-11 du code de la construction et de l'habitation et ayant prescrit la démolition ou l'interdiction définitive d'habiter </w:t>
      </w:r>
      <w:r w:rsidRPr="00EB1C4A">
        <w:rPr>
          <w:rFonts w:ascii="Arial" w:eastAsia="Times New Roman" w:hAnsi="Arial" w:cs="Arial"/>
          <w:color w:val="FF0000"/>
          <w:lang w:eastAsia="fr-FR"/>
        </w:rPr>
        <w:t>ou d'utiliser</w:t>
      </w:r>
      <w:r w:rsidRPr="00EB1C4A">
        <w:rPr>
          <w:rFonts w:ascii="Arial" w:eastAsia="Times New Roman" w:hAnsi="Arial" w:cs="Arial"/>
          <w:color w:val="000000"/>
          <w:lang w:eastAsia="fr-FR"/>
        </w:rPr>
        <w:t xml:space="preserve"> ;</w:t>
      </w:r>
    </w:p>
    <w:p w14:paraId="26C13C88"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 xml:space="preserve">2° A titre exceptionnel, des immeubles qui ne sont eux-mêmes ni insalubres, ni impropres à l'habitation </w:t>
      </w:r>
      <w:r w:rsidRPr="00EB1C4A">
        <w:rPr>
          <w:rFonts w:ascii="Arial" w:eastAsia="Times New Roman" w:hAnsi="Arial" w:cs="Arial"/>
          <w:color w:val="FF0000"/>
          <w:lang w:eastAsia="fr-FR"/>
        </w:rPr>
        <w:t>ou à l'utilisation</w:t>
      </w:r>
      <w:r w:rsidRPr="00EB1C4A">
        <w:rPr>
          <w:rFonts w:ascii="Arial" w:eastAsia="Times New Roman" w:hAnsi="Arial" w:cs="Arial"/>
          <w:color w:val="000000"/>
          <w:lang w:eastAsia="fr-FR"/>
        </w:rPr>
        <w:t>, lorsque leur expropriation est indispensable à la démolition d'immeubles insalubres ou d'immeubles menaçant ruine, ainsi que des terrains où sont situés les immeubles déclarés insalubres ou menaçant ruine lorsque leur acquisition est nécessaire à la résorption de l'habitat insalubre, alors même qu'y seraient également implantés des bâtiments non insalubres ou ne menaçant pas ruine.</w:t>
      </w:r>
    </w:p>
    <w:p w14:paraId="5E3BF244" w14:textId="77777777" w:rsidR="00EB1C4A" w:rsidRPr="00EB1C4A" w:rsidRDefault="00EB1C4A" w:rsidP="00EB1C4A">
      <w:pPr>
        <w:shd w:val="clear" w:color="auto" w:fill="FFFFFF"/>
        <w:spacing w:after="240" w:line="240" w:lineRule="auto"/>
        <w:rPr>
          <w:rFonts w:ascii="Arial" w:eastAsia="Times New Roman" w:hAnsi="Arial" w:cs="Arial"/>
          <w:bCs/>
          <w:i/>
          <w:color w:val="4A5E81"/>
          <w:lang w:eastAsia="fr-FR"/>
        </w:rPr>
      </w:pPr>
      <w:hyperlink r:id="rId10" w:history="1">
        <w:r w:rsidRPr="00EB1C4A">
          <w:rPr>
            <w:rFonts w:ascii="Arial" w:eastAsia="Times New Roman" w:hAnsi="Arial" w:cs="Arial"/>
            <w:b/>
            <w:bCs/>
            <w:color w:val="4A5E81"/>
            <w:u w:val="single"/>
            <w:lang w:eastAsia="fr-FR"/>
          </w:rPr>
          <w:t>Article L511-2</w:t>
        </w:r>
      </w:hyperlink>
      <w:r w:rsidRPr="00EB1C4A">
        <w:rPr>
          <w:rFonts w:ascii="Arial" w:hAnsi="Arial" w:cs="Arial"/>
          <w:bCs/>
          <w:i/>
          <w:color w:val="2E3B50"/>
          <w:sz w:val="21"/>
          <w:szCs w:val="21"/>
          <w:shd w:val="clear" w:color="auto" w:fill="FFFFFF"/>
        </w:rPr>
        <w:t xml:space="preserve"> </w:t>
      </w:r>
      <w:r>
        <w:rPr>
          <w:rFonts w:ascii="Arial" w:hAnsi="Arial" w:cs="Arial"/>
          <w:bCs/>
          <w:i/>
          <w:color w:val="2E3B50"/>
          <w:sz w:val="21"/>
          <w:szCs w:val="21"/>
          <w:shd w:val="clear" w:color="auto" w:fill="FFFFFF"/>
        </w:rPr>
        <w:t>/</w:t>
      </w:r>
      <w:r w:rsidRPr="00EB1C4A">
        <w:rPr>
          <w:rFonts w:ascii="Arial" w:hAnsi="Arial" w:cs="Arial"/>
          <w:bCs/>
          <w:i/>
          <w:color w:val="2E3B50"/>
          <w:sz w:val="21"/>
          <w:szCs w:val="21"/>
          <w:shd w:val="clear" w:color="auto" w:fill="FFFFFF"/>
        </w:rPr>
        <w:t>Modifié par LOI n°2024-322 du 9 avril 2024 - art. 45</w:t>
      </w:r>
    </w:p>
    <w:p w14:paraId="3CC9F1C5"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 xml:space="preserve">Par dérogation aux règles générales du présent code, l'autorité compétente de l'État déclare d'utilité publique l'expropriation des immeubles, parties d'immeubles, installations et terrains, après avoir constaté qu'ils ont fait l'objet d'un arrêté de mise en sécurité ou de traitement de l'insalubrité pris en application de l'article L. 511-11 du code de la construction et de l'habitation et ayant prescrit la démolition ou l'interdiction définitive d'habiter </w:t>
      </w:r>
      <w:r w:rsidRPr="00EB1C4A">
        <w:rPr>
          <w:rFonts w:ascii="Arial" w:eastAsia="Times New Roman" w:hAnsi="Arial" w:cs="Arial"/>
          <w:color w:val="FF0000"/>
          <w:lang w:eastAsia="fr-FR"/>
        </w:rPr>
        <w:t>ou d'utiliser</w:t>
      </w:r>
      <w:r w:rsidRPr="00EB1C4A">
        <w:rPr>
          <w:rFonts w:ascii="Arial" w:eastAsia="Times New Roman" w:hAnsi="Arial" w:cs="Arial"/>
          <w:color w:val="000000"/>
          <w:lang w:eastAsia="fr-FR"/>
        </w:rPr>
        <w:t>.</w:t>
      </w:r>
    </w:p>
    <w:p w14:paraId="2A4CEEF4"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Elle désigne la collectivité publique ou l'organisme au profit de qui l'expropriation est poursuivie. L'expropriant ainsi désigné est tenu à une obligation de relogement, y compris des propriétaires.</w:t>
      </w:r>
    </w:p>
    <w:p w14:paraId="6477DF0E"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Par la même décision, elle déclare cessibles les immeubles bâtis, parties d'immeubles bâtis, installations et terrains concernés par l'expropriation, et fixe le montant de l'indemnité provisionnelle allouée aux propriétaires ainsi qu'aux titulaires de baux commerciaux. Cette indemnité ne peut être inférieure à l'évaluation de l'autorité administrative compétente pour l'effectuer.</w:t>
      </w:r>
    </w:p>
    <w:p w14:paraId="65B502D0"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Elle détermine également la date à laquelle il pourra être pris possession des immeubles bâtis, parties d'immeubles bâtis, installations et terrains expropriés après paiement ou, en cas d'obstacle au paiement, après consignation de l'indemnité provisionnelle. Cette date doit être postérieure d'au moins un mois à la publication de l'acte déclarant l'utilité publique. Toutefois, ce délai est porté à deux mois dans les cas prévus au 2° de l'article L. 511-1.</w:t>
      </w:r>
    </w:p>
    <w:p w14:paraId="6C39C086"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lastRenderedPageBreak/>
        <w:t>Enfin, elle fixe le montant de l'indemnité provisionnelle de déménagement pour le cas où celui-ci ne serait pas assuré par les soins de l'administration et, le cas échéant, le montant de l'indemnité de privation de jouissance.</w:t>
      </w:r>
    </w:p>
    <w:p w14:paraId="7E9BC225" w14:textId="77777777" w:rsidR="00EB1C4A" w:rsidRPr="00EB1C4A" w:rsidRDefault="00EB1C4A" w:rsidP="00EB1C4A">
      <w:pPr>
        <w:shd w:val="clear" w:color="auto" w:fill="FFFFFF"/>
        <w:spacing w:after="240" w:line="240" w:lineRule="auto"/>
        <w:rPr>
          <w:rFonts w:ascii="Arial" w:eastAsia="Times New Roman" w:hAnsi="Arial" w:cs="Arial"/>
          <w:b/>
          <w:bCs/>
          <w:color w:val="4A5E81"/>
          <w:lang w:eastAsia="fr-FR"/>
        </w:rPr>
      </w:pPr>
      <w:hyperlink r:id="rId11" w:history="1">
        <w:r w:rsidRPr="00EB1C4A">
          <w:rPr>
            <w:rFonts w:ascii="Arial" w:eastAsia="Times New Roman" w:hAnsi="Arial" w:cs="Arial"/>
            <w:b/>
            <w:bCs/>
            <w:color w:val="4A5E81"/>
            <w:u w:val="single"/>
            <w:lang w:eastAsia="fr-FR"/>
          </w:rPr>
          <w:t>Article L511-3</w:t>
        </w:r>
      </w:hyperlink>
    </w:p>
    <w:p w14:paraId="3874142E"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Les terrains expropriés en application de l'article </w:t>
      </w:r>
      <w:hyperlink r:id="rId12" w:tooltip="Code de l" w:history="1">
        <w:r>
          <w:rPr>
            <w:rFonts w:ascii="Arial" w:eastAsia="Times New Roman" w:hAnsi="Arial" w:cs="Arial"/>
            <w:color w:val="4A5E81"/>
            <w:u w:val="single"/>
            <w:lang w:eastAsia="fr-FR"/>
          </w:rPr>
          <w:t>L.</w:t>
        </w:r>
        <w:r w:rsidRPr="00EB1C4A">
          <w:rPr>
            <w:rFonts w:ascii="Arial" w:eastAsia="Times New Roman" w:hAnsi="Arial" w:cs="Arial"/>
            <w:color w:val="4A5E81"/>
            <w:u w:val="single"/>
            <w:lang w:eastAsia="fr-FR"/>
          </w:rPr>
          <w:t>511-2</w:t>
        </w:r>
      </w:hyperlink>
      <w:r w:rsidRPr="00EB1C4A">
        <w:rPr>
          <w:rFonts w:ascii="Arial" w:eastAsia="Times New Roman" w:hAnsi="Arial" w:cs="Arial"/>
          <w:color w:val="000000"/>
          <w:lang w:eastAsia="fr-FR"/>
        </w:rPr>
        <w:t> peuvent être affectés, à titre précaire, à la construction de logements provisoires et de leurs annexes sans que la durée d'utilisation de ceux-ci puisse excéder huit ans à compter de l'ordonnance d'expropriation.</w:t>
      </w:r>
    </w:p>
    <w:p w14:paraId="58370399" w14:textId="77777777" w:rsidR="00EB1C4A" w:rsidRPr="00EB1C4A" w:rsidRDefault="00EB1C4A" w:rsidP="00EB1C4A">
      <w:pPr>
        <w:shd w:val="clear" w:color="auto" w:fill="FFFFFF"/>
        <w:spacing w:after="240" w:line="240" w:lineRule="auto"/>
        <w:rPr>
          <w:rFonts w:ascii="Arial" w:eastAsia="Times New Roman" w:hAnsi="Arial" w:cs="Arial"/>
          <w:b/>
          <w:bCs/>
          <w:color w:val="4A5E81"/>
          <w:lang w:eastAsia="fr-FR"/>
        </w:rPr>
      </w:pPr>
      <w:hyperlink r:id="rId13" w:history="1">
        <w:r w:rsidRPr="00EB1C4A">
          <w:rPr>
            <w:rFonts w:ascii="Arial" w:eastAsia="Times New Roman" w:hAnsi="Arial" w:cs="Arial"/>
            <w:b/>
            <w:bCs/>
            <w:color w:val="4A5E81"/>
            <w:u w:val="single"/>
            <w:lang w:eastAsia="fr-FR"/>
          </w:rPr>
          <w:t>Article L511-4</w:t>
        </w:r>
      </w:hyperlink>
    </w:p>
    <w:p w14:paraId="5191EB15"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Dans le mois qui suit la prise de possession, l'autorité compétente de l'Etat est tenue de poursuivre la procédure d'expropriation dans les conditions prévues au présent code.</w:t>
      </w:r>
    </w:p>
    <w:p w14:paraId="65F4710C"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L'ordonnance d'expropriation ou la cession amiable consentie après l'intervention de la décision prévue à l'article </w:t>
      </w:r>
      <w:hyperlink r:id="rId14" w:tooltip="Code de l" w:history="1">
        <w:r>
          <w:rPr>
            <w:rFonts w:ascii="Arial" w:eastAsia="Times New Roman" w:hAnsi="Arial" w:cs="Arial"/>
            <w:color w:val="4A5E81"/>
            <w:u w:val="single"/>
            <w:lang w:eastAsia="fr-FR"/>
          </w:rPr>
          <w:t>L.</w:t>
        </w:r>
        <w:r w:rsidRPr="00EB1C4A">
          <w:rPr>
            <w:rFonts w:ascii="Arial" w:eastAsia="Times New Roman" w:hAnsi="Arial" w:cs="Arial"/>
            <w:color w:val="4A5E81"/>
            <w:u w:val="single"/>
            <w:lang w:eastAsia="fr-FR"/>
          </w:rPr>
          <w:t>511-2 </w:t>
        </w:r>
      </w:hyperlink>
      <w:r w:rsidRPr="00EB1C4A">
        <w:rPr>
          <w:rFonts w:ascii="Arial" w:eastAsia="Times New Roman" w:hAnsi="Arial" w:cs="Arial"/>
          <w:color w:val="000000"/>
          <w:lang w:eastAsia="fr-FR"/>
        </w:rPr>
        <w:t>produit les effets définis à l'article </w:t>
      </w:r>
      <w:hyperlink r:id="rId15" w:tooltip="Code de l" w:history="1">
        <w:r>
          <w:rPr>
            <w:rFonts w:ascii="Arial" w:eastAsia="Times New Roman" w:hAnsi="Arial" w:cs="Arial"/>
            <w:color w:val="4A5E81"/>
            <w:u w:val="single"/>
            <w:lang w:eastAsia="fr-FR"/>
          </w:rPr>
          <w:t>L.</w:t>
        </w:r>
        <w:r w:rsidRPr="00EB1C4A">
          <w:rPr>
            <w:rFonts w:ascii="Arial" w:eastAsia="Times New Roman" w:hAnsi="Arial" w:cs="Arial"/>
            <w:color w:val="4A5E81"/>
            <w:u w:val="single"/>
            <w:lang w:eastAsia="fr-FR"/>
          </w:rPr>
          <w:t>222-2</w:t>
        </w:r>
      </w:hyperlink>
      <w:r w:rsidRPr="00EB1C4A">
        <w:rPr>
          <w:rFonts w:ascii="Arial" w:eastAsia="Times New Roman" w:hAnsi="Arial" w:cs="Arial"/>
          <w:color w:val="000000"/>
          <w:lang w:eastAsia="fr-FR"/>
        </w:rPr>
        <w:t>.</w:t>
      </w:r>
    </w:p>
    <w:p w14:paraId="6DA1D331" w14:textId="77777777" w:rsidR="00EB1C4A" w:rsidRPr="00EB1C4A" w:rsidRDefault="00EB1C4A" w:rsidP="00EB1C4A">
      <w:pPr>
        <w:shd w:val="clear" w:color="auto" w:fill="FFFFFF"/>
        <w:spacing w:after="240" w:line="240" w:lineRule="auto"/>
        <w:rPr>
          <w:rFonts w:ascii="Arial" w:eastAsia="Times New Roman" w:hAnsi="Arial" w:cs="Arial"/>
          <w:b/>
          <w:bCs/>
          <w:color w:val="4A5E81"/>
          <w:lang w:eastAsia="fr-FR"/>
        </w:rPr>
      </w:pPr>
      <w:hyperlink r:id="rId16" w:history="1">
        <w:r w:rsidRPr="00EB1C4A">
          <w:rPr>
            <w:rFonts w:ascii="Arial" w:eastAsia="Times New Roman" w:hAnsi="Arial" w:cs="Arial"/>
            <w:b/>
            <w:bCs/>
            <w:color w:val="4A5E81"/>
            <w:u w:val="single"/>
            <w:lang w:eastAsia="fr-FR"/>
          </w:rPr>
          <w:t>Article L511-5</w:t>
        </w:r>
      </w:hyperlink>
    </w:p>
    <w:p w14:paraId="742FE5F9"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Pour les immeubles mentionnés à l'article </w:t>
      </w:r>
      <w:hyperlink r:id="rId17" w:tooltip="Code de l" w:history="1">
        <w:r>
          <w:rPr>
            <w:rFonts w:ascii="Arial" w:eastAsia="Times New Roman" w:hAnsi="Arial" w:cs="Arial"/>
            <w:color w:val="4A5E81"/>
            <w:u w:val="single"/>
            <w:lang w:eastAsia="fr-FR"/>
          </w:rPr>
          <w:t>L.</w:t>
        </w:r>
        <w:r w:rsidRPr="00EB1C4A">
          <w:rPr>
            <w:rFonts w:ascii="Arial" w:eastAsia="Times New Roman" w:hAnsi="Arial" w:cs="Arial"/>
            <w:color w:val="4A5E81"/>
            <w:u w:val="single"/>
            <w:lang w:eastAsia="fr-FR"/>
          </w:rPr>
          <w:t>511-1</w:t>
        </w:r>
      </w:hyperlink>
      <w:r w:rsidRPr="00EB1C4A">
        <w:rPr>
          <w:rFonts w:ascii="Arial" w:eastAsia="Times New Roman" w:hAnsi="Arial" w:cs="Arial"/>
          <w:color w:val="000000"/>
          <w:lang w:eastAsia="fr-FR"/>
        </w:rPr>
        <w:t>, l'indemnité d'expropriation est fixée et calculée conformément aux dispositions des articles </w:t>
      </w:r>
      <w:hyperlink r:id="rId18" w:tooltip="Code de l" w:history="1">
        <w:r>
          <w:rPr>
            <w:rFonts w:ascii="Arial" w:eastAsia="Times New Roman" w:hAnsi="Arial" w:cs="Arial"/>
            <w:color w:val="4A5E81"/>
            <w:u w:val="single"/>
            <w:lang w:eastAsia="fr-FR"/>
          </w:rPr>
          <w:t>L.</w:t>
        </w:r>
        <w:r w:rsidRPr="00EB1C4A">
          <w:rPr>
            <w:rFonts w:ascii="Arial" w:eastAsia="Times New Roman" w:hAnsi="Arial" w:cs="Arial"/>
            <w:color w:val="4A5E81"/>
            <w:u w:val="single"/>
            <w:lang w:eastAsia="fr-FR"/>
          </w:rPr>
          <w:t>242-1 à L. 242-7 </w:t>
        </w:r>
      </w:hyperlink>
      <w:r w:rsidRPr="00EB1C4A">
        <w:rPr>
          <w:rFonts w:ascii="Arial" w:eastAsia="Times New Roman" w:hAnsi="Arial" w:cs="Arial"/>
          <w:color w:val="000000"/>
          <w:lang w:eastAsia="fr-FR"/>
        </w:rPr>
        <w:t>et du livre III sous réserve des dispositions de l'article </w:t>
      </w:r>
      <w:hyperlink r:id="rId19" w:tooltip="Code de l" w:history="1">
        <w:r>
          <w:rPr>
            <w:rFonts w:ascii="Arial" w:eastAsia="Times New Roman" w:hAnsi="Arial" w:cs="Arial"/>
            <w:color w:val="4A5E81"/>
            <w:u w:val="single"/>
            <w:lang w:eastAsia="fr-FR"/>
          </w:rPr>
          <w:t>L.</w:t>
        </w:r>
        <w:r w:rsidRPr="00EB1C4A">
          <w:rPr>
            <w:rFonts w:ascii="Arial" w:eastAsia="Times New Roman" w:hAnsi="Arial" w:cs="Arial"/>
            <w:color w:val="4A5E81"/>
            <w:u w:val="single"/>
            <w:lang w:eastAsia="fr-FR"/>
          </w:rPr>
          <w:t>511-6</w:t>
        </w:r>
      </w:hyperlink>
      <w:r w:rsidRPr="00EB1C4A">
        <w:rPr>
          <w:rFonts w:ascii="Arial" w:eastAsia="Times New Roman" w:hAnsi="Arial" w:cs="Arial"/>
          <w:color w:val="000000"/>
          <w:lang w:eastAsia="fr-FR"/>
        </w:rPr>
        <w:t>.</w:t>
      </w:r>
    </w:p>
    <w:p w14:paraId="6C96864D" w14:textId="77777777" w:rsidR="00A1294A" w:rsidRPr="00EB1C4A" w:rsidRDefault="00EB1C4A" w:rsidP="00A1294A">
      <w:pPr>
        <w:shd w:val="clear" w:color="auto" w:fill="FFFFFF"/>
        <w:spacing w:after="240" w:line="240" w:lineRule="auto"/>
        <w:rPr>
          <w:rFonts w:ascii="Arial" w:eastAsia="Times New Roman" w:hAnsi="Arial" w:cs="Arial"/>
          <w:bCs/>
          <w:i/>
          <w:color w:val="4A5E81"/>
          <w:lang w:eastAsia="fr-FR"/>
        </w:rPr>
      </w:pPr>
      <w:hyperlink r:id="rId20" w:history="1">
        <w:r w:rsidRPr="00EB1C4A">
          <w:rPr>
            <w:rFonts w:ascii="Arial" w:eastAsia="Times New Roman" w:hAnsi="Arial" w:cs="Arial"/>
            <w:b/>
            <w:bCs/>
            <w:color w:val="4A5E81"/>
            <w:u w:val="single"/>
            <w:lang w:eastAsia="fr-FR"/>
          </w:rPr>
          <w:t>Article L511-6</w:t>
        </w:r>
      </w:hyperlink>
      <w:r w:rsidR="00A1294A">
        <w:rPr>
          <w:rFonts w:ascii="Arial" w:eastAsia="Times New Roman" w:hAnsi="Arial" w:cs="Arial"/>
          <w:b/>
          <w:bCs/>
          <w:color w:val="4A5E81"/>
          <w:lang w:eastAsia="fr-FR"/>
        </w:rPr>
        <w:t>/</w:t>
      </w:r>
      <w:r w:rsidR="00A1294A" w:rsidRPr="00A1294A">
        <w:rPr>
          <w:rFonts w:ascii="Arial" w:hAnsi="Arial" w:cs="Arial"/>
          <w:bCs/>
          <w:i/>
          <w:color w:val="2E3B50"/>
          <w:sz w:val="21"/>
          <w:szCs w:val="21"/>
          <w:shd w:val="clear" w:color="auto" w:fill="FFFFFF"/>
        </w:rPr>
        <w:t xml:space="preserve"> </w:t>
      </w:r>
      <w:r w:rsidR="00A1294A" w:rsidRPr="00EB1C4A">
        <w:rPr>
          <w:rFonts w:ascii="Arial" w:hAnsi="Arial" w:cs="Arial"/>
          <w:bCs/>
          <w:i/>
          <w:color w:val="2E3B50"/>
          <w:sz w:val="21"/>
          <w:szCs w:val="21"/>
          <w:shd w:val="clear" w:color="auto" w:fill="FFFFFF"/>
        </w:rPr>
        <w:t>Modifié par LOI n°2024-322 du 9 avril 2024 - art. 45</w:t>
      </w:r>
    </w:p>
    <w:p w14:paraId="65AB3A1F"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 xml:space="preserve">Pour le calcul de l'indemnité due aux propriétaires, la valeur des biens est appréciée, compte tenu du caractère impropre à l'habitation </w:t>
      </w:r>
      <w:r w:rsidRPr="00EB1C4A">
        <w:rPr>
          <w:rFonts w:ascii="Arial" w:eastAsia="Times New Roman" w:hAnsi="Arial" w:cs="Arial"/>
          <w:color w:val="FF0000"/>
          <w:lang w:eastAsia="fr-FR"/>
        </w:rPr>
        <w:t>ou à l'utilisation</w:t>
      </w:r>
      <w:r w:rsidRPr="00EB1C4A">
        <w:rPr>
          <w:rFonts w:ascii="Arial" w:eastAsia="Times New Roman" w:hAnsi="Arial" w:cs="Arial"/>
          <w:color w:val="000000"/>
          <w:lang w:eastAsia="fr-FR"/>
        </w:rPr>
        <w:t xml:space="preserve"> des locaux et installations expropriés, à la valeur du terrain nu, déduction faite des frais entraînés par leur démolition, sauf lorsque les propriétaires occupaient eux-mêmes les immeubles déclarés insalubres ou frappés d'un arrêté de péril au moins deux ans avant la notification de la décision prévue à l'article </w:t>
      </w:r>
      <w:hyperlink r:id="rId21" w:tooltip="Code de l" w:history="1">
        <w:r>
          <w:rPr>
            <w:rFonts w:ascii="Arial" w:eastAsia="Times New Roman" w:hAnsi="Arial" w:cs="Arial"/>
            <w:color w:val="4A5E81"/>
            <w:u w:val="single"/>
            <w:lang w:eastAsia="fr-FR"/>
          </w:rPr>
          <w:t>L.</w:t>
        </w:r>
        <w:r w:rsidRPr="00EB1C4A">
          <w:rPr>
            <w:rFonts w:ascii="Arial" w:eastAsia="Times New Roman" w:hAnsi="Arial" w:cs="Arial"/>
            <w:color w:val="4A5E81"/>
            <w:u w:val="single"/>
            <w:lang w:eastAsia="fr-FR"/>
          </w:rPr>
          <w:t>511-2</w:t>
        </w:r>
      </w:hyperlink>
      <w:r w:rsidRPr="00EB1C4A">
        <w:rPr>
          <w:rFonts w:ascii="Arial" w:eastAsia="Times New Roman" w:hAnsi="Arial" w:cs="Arial"/>
          <w:color w:val="000000"/>
          <w:lang w:eastAsia="fr-FR"/>
        </w:rPr>
        <w:t> ou lorsque les immeubles ne sont ni insalubres, ni impropres à l'habitation, ni frappés d'un arrêté de péril.</w:t>
      </w:r>
    </w:p>
    <w:p w14:paraId="74E1A4BB"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hyperlink r:id="rId22" w:history="1">
        <w:r w:rsidRPr="00EB1C4A">
          <w:rPr>
            <w:rFonts w:ascii="Arial" w:eastAsia="Times New Roman" w:hAnsi="Arial" w:cs="Arial"/>
            <w:b/>
            <w:bCs/>
            <w:color w:val="4A5E81"/>
            <w:u w:val="single"/>
            <w:lang w:eastAsia="fr-FR"/>
          </w:rPr>
          <w:t>Article L511-7</w:t>
        </w:r>
      </w:hyperlink>
    </w:p>
    <w:p w14:paraId="0F79823D"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L'indemnité est réduite du montant des frais de relogement des occupants assuré, lorsque le propriétaire n'y a pas procédé, en application de l'</w:t>
      </w:r>
      <w:hyperlink r:id="rId23" w:tooltip="Code de la construction et de l" w:history="1">
        <w:r>
          <w:rPr>
            <w:rFonts w:ascii="Arial" w:eastAsia="Times New Roman" w:hAnsi="Arial" w:cs="Arial"/>
            <w:color w:val="4A5E81"/>
            <w:u w:val="single"/>
            <w:lang w:eastAsia="fr-FR"/>
          </w:rPr>
          <w:t>article L.</w:t>
        </w:r>
        <w:r w:rsidRPr="00EB1C4A">
          <w:rPr>
            <w:rFonts w:ascii="Arial" w:eastAsia="Times New Roman" w:hAnsi="Arial" w:cs="Arial"/>
            <w:color w:val="4A5E81"/>
            <w:u w:val="single"/>
            <w:lang w:eastAsia="fr-FR"/>
          </w:rPr>
          <w:t>521-3-2 du code de la construction et de l'habitation</w:t>
        </w:r>
      </w:hyperlink>
      <w:r w:rsidRPr="00EB1C4A">
        <w:rPr>
          <w:rFonts w:ascii="Arial" w:eastAsia="Times New Roman" w:hAnsi="Arial" w:cs="Arial"/>
          <w:color w:val="000000"/>
          <w:lang w:eastAsia="fr-FR"/>
        </w:rPr>
        <w:t>.</w:t>
      </w:r>
    </w:p>
    <w:p w14:paraId="43860BA4" w14:textId="77777777" w:rsidR="00EB1C4A" w:rsidRPr="00EB1C4A" w:rsidRDefault="00EB1C4A" w:rsidP="00EB1C4A">
      <w:pPr>
        <w:shd w:val="clear" w:color="auto" w:fill="FFFFFF"/>
        <w:spacing w:after="240" w:line="240" w:lineRule="auto"/>
        <w:rPr>
          <w:rFonts w:ascii="Arial" w:eastAsia="Times New Roman" w:hAnsi="Arial" w:cs="Arial"/>
          <w:b/>
          <w:bCs/>
          <w:color w:val="4A5E81"/>
          <w:lang w:eastAsia="fr-FR"/>
        </w:rPr>
      </w:pPr>
      <w:hyperlink r:id="rId24" w:history="1">
        <w:r w:rsidRPr="00EB1C4A">
          <w:rPr>
            <w:rFonts w:ascii="Arial" w:eastAsia="Times New Roman" w:hAnsi="Arial" w:cs="Arial"/>
            <w:b/>
            <w:bCs/>
            <w:color w:val="4A5E81"/>
            <w:u w:val="single"/>
            <w:lang w:eastAsia="fr-FR"/>
          </w:rPr>
          <w:t>Article L511-8</w:t>
        </w:r>
      </w:hyperlink>
    </w:p>
    <w:p w14:paraId="0879763D" w14:textId="77777777" w:rsidR="00EB1C4A" w:rsidRP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Aucune indemnisation à titre principal ou accessoire ne peut être accordée en dédommagement de la suppression d'un commerce portant sur l'utilisation comme habitation de terrains ou de locaux impropres à cet usage.</w:t>
      </w:r>
    </w:p>
    <w:p w14:paraId="36B9A59A" w14:textId="77777777" w:rsidR="00EB1C4A" w:rsidRPr="00EB1C4A" w:rsidRDefault="00EB1C4A" w:rsidP="00EB1C4A">
      <w:pPr>
        <w:shd w:val="clear" w:color="auto" w:fill="FFFFFF"/>
        <w:spacing w:after="240" w:line="240" w:lineRule="auto"/>
        <w:rPr>
          <w:rFonts w:ascii="Arial" w:eastAsia="Times New Roman" w:hAnsi="Arial" w:cs="Arial"/>
          <w:b/>
          <w:bCs/>
          <w:color w:val="4A5E81"/>
          <w:lang w:eastAsia="fr-FR"/>
        </w:rPr>
      </w:pPr>
      <w:hyperlink r:id="rId25" w:history="1">
        <w:r w:rsidRPr="00EB1C4A">
          <w:rPr>
            <w:rFonts w:ascii="Arial" w:eastAsia="Times New Roman" w:hAnsi="Arial" w:cs="Arial"/>
            <w:b/>
            <w:bCs/>
            <w:color w:val="4A5E81"/>
            <w:u w:val="single"/>
            <w:lang w:eastAsia="fr-FR"/>
          </w:rPr>
          <w:t>Article L511-9</w:t>
        </w:r>
      </w:hyperlink>
    </w:p>
    <w:p w14:paraId="0B12DB91" w14:textId="77777777" w:rsidR="00EB1C4A" w:rsidRDefault="00EB1C4A" w:rsidP="00EB1C4A">
      <w:pPr>
        <w:shd w:val="clear" w:color="auto" w:fill="FFFFFF"/>
        <w:spacing w:after="240" w:line="240" w:lineRule="auto"/>
        <w:rPr>
          <w:rFonts w:ascii="Arial" w:eastAsia="Times New Roman" w:hAnsi="Arial" w:cs="Arial"/>
          <w:color w:val="000000"/>
          <w:lang w:eastAsia="fr-FR"/>
        </w:rPr>
      </w:pPr>
      <w:r w:rsidRPr="00EB1C4A">
        <w:rPr>
          <w:rFonts w:ascii="Arial" w:eastAsia="Times New Roman" w:hAnsi="Arial" w:cs="Arial"/>
          <w:color w:val="000000"/>
          <w:lang w:eastAsia="fr-FR"/>
        </w:rPr>
        <w:t>Le refus par les occupants des locaux ou installations qui font l'objet de la décision prévue à l'article </w:t>
      </w:r>
      <w:hyperlink r:id="rId26" w:tooltip="Code de l" w:history="1">
        <w:r>
          <w:rPr>
            <w:rFonts w:ascii="Arial" w:eastAsia="Times New Roman" w:hAnsi="Arial" w:cs="Arial"/>
            <w:color w:val="4A5E81"/>
            <w:u w:val="single"/>
            <w:lang w:eastAsia="fr-FR"/>
          </w:rPr>
          <w:t>L.</w:t>
        </w:r>
        <w:r w:rsidRPr="00EB1C4A">
          <w:rPr>
            <w:rFonts w:ascii="Arial" w:eastAsia="Times New Roman" w:hAnsi="Arial" w:cs="Arial"/>
            <w:color w:val="4A5E81"/>
            <w:u w:val="single"/>
            <w:lang w:eastAsia="fr-FR"/>
          </w:rPr>
          <w:t>511-2</w:t>
        </w:r>
      </w:hyperlink>
      <w:r w:rsidRPr="00EB1C4A">
        <w:rPr>
          <w:rFonts w:ascii="Arial" w:eastAsia="Times New Roman" w:hAnsi="Arial" w:cs="Arial"/>
          <w:color w:val="000000"/>
          <w:lang w:eastAsia="fr-FR"/>
        </w:rPr>
        <w:t>, du relogement qui leur est offert par l'expropriant, dans les conditions prévues à l'</w:t>
      </w:r>
      <w:hyperlink r:id="rId27" w:tooltip="Code de l" w:history="1">
        <w:r>
          <w:rPr>
            <w:rFonts w:ascii="Arial" w:eastAsia="Times New Roman" w:hAnsi="Arial" w:cs="Arial"/>
            <w:color w:val="4A5E81"/>
            <w:u w:val="single"/>
            <w:lang w:eastAsia="fr-FR"/>
          </w:rPr>
          <w:t>article L.</w:t>
        </w:r>
        <w:r w:rsidRPr="00EB1C4A">
          <w:rPr>
            <w:rFonts w:ascii="Arial" w:eastAsia="Times New Roman" w:hAnsi="Arial" w:cs="Arial"/>
            <w:color w:val="4A5E81"/>
            <w:u w:val="single"/>
            <w:lang w:eastAsia="fr-FR"/>
          </w:rPr>
          <w:t>314-2 du code de l'urbanisme</w:t>
        </w:r>
      </w:hyperlink>
      <w:r w:rsidRPr="00EB1C4A">
        <w:rPr>
          <w:rFonts w:ascii="Arial" w:eastAsia="Times New Roman" w:hAnsi="Arial" w:cs="Arial"/>
          <w:color w:val="000000"/>
          <w:lang w:eastAsia="fr-FR"/>
        </w:rPr>
        <w:t>, autorise leur expulsion sans indemnité.</w:t>
      </w:r>
    </w:p>
    <w:p w14:paraId="01D0349F" w14:textId="77777777" w:rsidR="00CA366B" w:rsidRDefault="00CA366B" w:rsidP="00EB1C4A">
      <w:pPr>
        <w:shd w:val="clear" w:color="auto" w:fill="FFFFFF"/>
        <w:spacing w:after="240" w:line="240" w:lineRule="auto"/>
        <w:rPr>
          <w:rFonts w:ascii="Arial" w:eastAsia="Times New Roman" w:hAnsi="Arial" w:cs="Arial"/>
          <w:b/>
          <w:bCs/>
          <w:color w:val="002060"/>
          <w:sz w:val="24"/>
          <w:szCs w:val="24"/>
          <w:lang w:eastAsia="fr-FR"/>
        </w:rPr>
      </w:pPr>
    </w:p>
    <w:p w14:paraId="6D7DFC40" w14:textId="77777777" w:rsidR="00EB1C4A" w:rsidRPr="00EB1C4A" w:rsidRDefault="00EB1C4A" w:rsidP="00EB1C4A"/>
    <w:sectPr w:rsidR="00EB1C4A" w:rsidRPr="00EB1C4A" w:rsidSect="00972871">
      <w:footerReference w:type="default" r:id="rId28"/>
      <w:footerReference w:type="firs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2589" w14:textId="77777777" w:rsidR="00F82B87" w:rsidRDefault="00F82B87" w:rsidP="00972871">
      <w:pPr>
        <w:spacing w:after="0" w:line="240" w:lineRule="auto"/>
      </w:pPr>
      <w:r>
        <w:separator/>
      </w:r>
    </w:p>
  </w:endnote>
  <w:endnote w:type="continuationSeparator" w:id="0">
    <w:p w14:paraId="30CC827F" w14:textId="77777777" w:rsidR="00F82B87" w:rsidRDefault="00F82B87" w:rsidP="0097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FBC9" w14:textId="42D750F4" w:rsidR="00424AB5" w:rsidRDefault="00424AB5">
    <w:pPr>
      <w:pStyle w:val="Pieddepage"/>
    </w:pPr>
  </w:p>
  <w:p w14:paraId="654ACE06" w14:textId="77777777" w:rsidR="00972871" w:rsidRDefault="009728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6CC1" w14:textId="441FF834" w:rsidR="00972871" w:rsidRDefault="00972871" w:rsidP="00972871">
    <w:pPr>
      <w:pStyle w:val="Pieddepage"/>
      <w:jc w:val="center"/>
    </w:pPr>
    <w:r>
      <w:t>Version à jour : Fevrier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FDA2" w14:textId="77777777" w:rsidR="00F82B87" w:rsidRDefault="00F82B87" w:rsidP="00972871">
      <w:pPr>
        <w:spacing w:after="0" w:line="240" w:lineRule="auto"/>
      </w:pPr>
      <w:r>
        <w:separator/>
      </w:r>
    </w:p>
  </w:footnote>
  <w:footnote w:type="continuationSeparator" w:id="0">
    <w:p w14:paraId="6DA9A648" w14:textId="77777777" w:rsidR="00F82B87" w:rsidRDefault="00F82B87" w:rsidP="00972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213"/>
    <w:multiLevelType w:val="multilevel"/>
    <w:tmpl w:val="63E4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12BA8"/>
    <w:multiLevelType w:val="multilevel"/>
    <w:tmpl w:val="19149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40C48"/>
    <w:multiLevelType w:val="multilevel"/>
    <w:tmpl w:val="BE50B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91719"/>
    <w:multiLevelType w:val="multilevel"/>
    <w:tmpl w:val="7B446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805106">
    <w:abstractNumId w:val="1"/>
  </w:num>
  <w:num w:numId="2" w16cid:durableId="1512183543">
    <w:abstractNumId w:val="2"/>
  </w:num>
  <w:num w:numId="3" w16cid:durableId="843128863">
    <w:abstractNumId w:val="0"/>
  </w:num>
  <w:num w:numId="4" w16cid:durableId="1883051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4A"/>
    <w:rsid w:val="00082685"/>
    <w:rsid w:val="00183B7C"/>
    <w:rsid w:val="00424AB5"/>
    <w:rsid w:val="006C489F"/>
    <w:rsid w:val="006C7A08"/>
    <w:rsid w:val="0076280F"/>
    <w:rsid w:val="007B6DDB"/>
    <w:rsid w:val="00972871"/>
    <w:rsid w:val="00A1294A"/>
    <w:rsid w:val="00AF5F62"/>
    <w:rsid w:val="00C104FD"/>
    <w:rsid w:val="00C22252"/>
    <w:rsid w:val="00CA366B"/>
    <w:rsid w:val="00EB1C4A"/>
    <w:rsid w:val="00F82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67E5"/>
  <w15:docId w15:val="{2AA6A762-2B7C-4C60-A39C-D56F70CC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B1C4A"/>
    <w:rPr>
      <w:color w:val="0000FF"/>
      <w:u w:val="single"/>
    </w:rPr>
  </w:style>
  <w:style w:type="character" w:customStyle="1" w:styleId="print-title-summary">
    <w:name w:val="print-title-summary"/>
    <w:basedOn w:val="Policepardfaut"/>
    <w:rsid w:val="00EB1C4A"/>
  </w:style>
  <w:style w:type="character" w:customStyle="1" w:styleId="hidden-element">
    <w:name w:val="hidden-element"/>
    <w:basedOn w:val="Policepardfaut"/>
    <w:rsid w:val="00EB1C4A"/>
  </w:style>
  <w:style w:type="paragraph" w:customStyle="1" w:styleId="name-article">
    <w:name w:val="name-article"/>
    <w:basedOn w:val="Normal"/>
    <w:rsid w:val="00EB1C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1">
    <w:name w:val="Date1"/>
    <w:basedOn w:val="Normal"/>
    <w:rsid w:val="00EB1C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B1C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72871"/>
    <w:pPr>
      <w:tabs>
        <w:tab w:val="center" w:pos="4536"/>
        <w:tab w:val="right" w:pos="9072"/>
      </w:tabs>
      <w:spacing w:after="0" w:line="240" w:lineRule="auto"/>
    </w:pPr>
  </w:style>
  <w:style w:type="character" w:customStyle="1" w:styleId="En-tteCar">
    <w:name w:val="En-tête Car"/>
    <w:basedOn w:val="Policepardfaut"/>
    <w:link w:val="En-tte"/>
    <w:uiPriority w:val="99"/>
    <w:rsid w:val="00972871"/>
  </w:style>
  <w:style w:type="paragraph" w:styleId="Pieddepage">
    <w:name w:val="footer"/>
    <w:basedOn w:val="Normal"/>
    <w:link w:val="PieddepageCar"/>
    <w:uiPriority w:val="99"/>
    <w:unhideWhenUsed/>
    <w:rsid w:val="009728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1300">
      <w:bodyDiv w:val="1"/>
      <w:marLeft w:val="0"/>
      <w:marRight w:val="0"/>
      <w:marTop w:val="0"/>
      <w:marBottom w:val="0"/>
      <w:divBdr>
        <w:top w:val="none" w:sz="0" w:space="0" w:color="auto"/>
        <w:left w:val="none" w:sz="0" w:space="0" w:color="auto"/>
        <w:bottom w:val="none" w:sz="0" w:space="0" w:color="auto"/>
        <w:right w:val="none" w:sz="0" w:space="0" w:color="auto"/>
      </w:divBdr>
      <w:divsChild>
        <w:div w:id="1362173435">
          <w:marLeft w:val="0"/>
          <w:marRight w:val="0"/>
          <w:marTop w:val="0"/>
          <w:marBottom w:val="0"/>
          <w:divBdr>
            <w:top w:val="none" w:sz="0" w:space="0" w:color="auto"/>
            <w:left w:val="none" w:sz="0" w:space="0" w:color="auto"/>
            <w:bottom w:val="none" w:sz="0" w:space="0" w:color="auto"/>
            <w:right w:val="none" w:sz="0" w:space="0" w:color="auto"/>
          </w:divBdr>
          <w:divsChild>
            <w:div w:id="65036654">
              <w:marLeft w:val="0"/>
              <w:marRight w:val="0"/>
              <w:marTop w:val="0"/>
              <w:marBottom w:val="0"/>
              <w:divBdr>
                <w:top w:val="none" w:sz="0" w:space="0" w:color="auto"/>
                <w:left w:val="none" w:sz="0" w:space="0" w:color="auto"/>
                <w:bottom w:val="none" w:sz="0" w:space="0" w:color="auto"/>
                <w:right w:val="none" w:sz="0" w:space="0" w:color="auto"/>
              </w:divBdr>
            </w:div>
          </w:divsChild>
        </w:div>
        <w:div w:id="1952323269">
          <w:marLeft w:val="0"/>
          <w:marRight w:val="0"/>
          <w:marTop w:val="0"/>
          <w:marBottom w:val="0"/>
          <w:divBdr>
            <w:top w:val="none" w:sz="0" w:space="0" w:color="auto"/>
            <w:left w:val="none" w:sz="0" w:space="0" w:color="auto"/>
            <w:bottom w:val="none" w:sz="0" w:space="0" w:color="auto"/>
            <w:right w:val="none" w:sz="0" w:space="0" w:color="auto"/>
          </w:divBdr>
          <w:divsChild>
            <w:div w:id="711806459">
              <w:marLeft w:val="0"/>
              <w:marRight w:val="0"/>
              <w:marTop w:val="0"/>
              <w:marBottom w:val="0"/>
              <w:divBdr>
                <w:top w:val="none" w:sz="0" w:space="0" w:color="auto"/>
                <w:left w:val="none" w:sz="0" w:space="0" w:color="auto"/>
                <w:bottom w:val="none" w:sz="0" w:space="0" w:color="auto"/>
                <w:right w:val="none" w:sz="0" w:space="0" w:color="auto"/>
              </w:divBdr>
            </w:div>
            <w:div w:id="744448915">
              <w:marLeft w:val="0"/>
              <w:marRight w:val="0"/>
              <w:marTop w:val="0"/>
              <w:marBottom w:val="0"/>
              <w:divBdr>
                <w:top w:val="none" w:sz="0" w:space="0" w:color="auto"/>
                <w:left w:val="none" w:sz="0" w:space="0" w:color="auto"/>
                <w:bottom w:val="none" w:sz="0" w:space="0" w:color="auto"/>
                <w:right w:val="none" w:sz="0" w:space="0" w:color="auto"/>
              </w:divBdr>
            </w:div>
            <w:div w:id="592201356">
              <w:marLeft w:val="0"/>
              <w:marRight w:val="0"/>
              <w:marTop w:val="0"/>
              <w:marBottom w:val="0"/>
              <w:divBdr>
                <w:top w:val="none" w:sz="0" w:space="0" w:color="auto"/>
                <w:left w:val="none" w:sz="0" w:space="0" w:color="auto"/>
                <w:bottom w:val="none" w:sz="0" w:space="0" w:color="auto"/>
                <w:right w:val="none" w:sz="0" w:space="0" w:color="auto"/>
              </w:divBdr>
            </w:div>
          </w:divsChild>
        </w:div>
        <w:div w:id="384453934">
          <w:marLeft w:val="0"/>
          <w:marRight w:val="0"/>
          <w:marTop w:val="0"/>
          <w:marBottom w:val="0"/>
          <w:divBdr>
            <w:top w:val="none" w:sz="0" w:space="0" w:color="auto"/>
            <w:left w:val="none" w:sz="0" w:space="0" w:color="auto"/>
            <w:bottom w:val="none" w:sz="0" w:space="0" w:color="auto"/>
            <w:right w:val="none" w:sz="0" w:space="0" w:color="auto"/>
          </w:divBdr>
          <w:divsChild>
            <w:div w:id="126362385">
              <w:marLeft w:val="0"/>
              <w:marRight w:val="0"/>
              <w:marTop w:val="0"/>
              <w:marBottom w:val="0"/>
              <w:divBdr>
                <w:top w:val="none" w:sz="0" w:space="0" w:color="auto"/>
                <w:left w:val="none" w:sz="0" w:space="0" w:color="auto"/>
                <w:bottom w:val="none" w:sz="0" w:space="0" w:color="auto"/>
                <w:right w:val="none" w:sz="0" w:space="0" w:color="auto"/>
              </w:divBdr>
            </w:div>
            <w:div w:id="1260990286">
              <w:marLeft w:val="0"/>
              <w:marRight w:val="0"/>
              <w:marTop w:val="0"/>
              <w:marBottom w:val="0"/>
              <w:divBdr>
                <w:top w:val="none" w:sz="0" w:space="0" w:color="auto"/>
                <w:left w:val="none" w:sz="0" w:space="0" w:color="auto"/>
                <w:bottom w:val="none" w:sz="0" w:space="0" w:color="auto"/>
                <w:right w:val="none" w:sz="0" w:space="0" w:color="auto"/>
              </w:divBdr>
            </w:div>
            <w:div w:id="1757435600">
              <w:marLeft w:val="0"/>
              <w:marRight w:val="0"/>
              <w:marTop w:val="0"/>
              <w:marBottom w:val="0"/>
              <w:divBdr>
                <w:top w:val="none" w:sz="0" w:space="0" w:color="auto"/>
                <w:left w:val="none" w:sz="0" w:space="0" w:color="auto"/>
                <w:bottom w:val="none" w:sz="0" w:space="0" w:color="auto"/>
                <w:right w:val="none" w:sz="0" w:space="0" w:color="auto"/>
              </w:divBdr>
            </w:div>
          </w:divsChild>
        </w:div>
        <w:div w:id="458837379">
          <w:marLeft w:val="0"/>
          <w:marRight w:val="0"/>
          <w:marTop w:val="0"/>
          <w:marBottom w:val="0"/>
          <w:divBdr>
            <w:top w:val="none" w:sz="0" w:space="0" w:color="auto"/>
            <w:left w:val="none" w:sz="0" w:space="0" w:color="auto"/>
            <w:bottom w:val="none" w:sz="0" w:space="0" w:color="auto"/>
            <w:right w:val="none" w:sz="0" w:space="0" w:color="auto"/>
          </w:divBdr>
          <w:divsChild>
            <w:div w:id="196895128">
              <w:marLeft w:val="0"/>
              <w:marRight w:val="0"/>
              <w:marTop w:val="0"/>
              <w:marBottom w:val="0"/>
              <w:divBdr>
                <w:top w:val="none" w:sz="0" w:space="0" w:color="auto"/>
                <w:left w:val="none" w:sz="0" w:space="0" w:color="auto"/>
                <w:bottom w:val="none" w:sz="0" w:space="0" w:color="auto"/>
                <w:right w:val="none" w:sz="0" w:space="0" w:color="auto"/>
              </w:divBdr>
            </w:div>
            <w:div w:id="9929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6559">
      <w:bodyDiv w:val="1"/>
      <w:marLeft w:val="0"/>
      <w:marRight w:val="0"/>
      <w:marTop w:val="0"/>
      <w:marBottom w:val="0"/>
      <w:divBdr>
        <w:top w:val="none" w:sz="0" w:space="0" w:color="auto"/>
        <w:left w:val="none" w:sz="0" w:space="0" w:color="auto"/>
        <w:bottom w:val="none" w:sz="0" w:space="0" w:color="auto"/>
        <w:right w:val="none" w:sz="0" w:space="0" w:color="auto"/>
      </w:divBdr>
      <w:divsChild>
        <w:div w:id="784273354">
          <w:marLeft w:val="0"/>
          <w:marRight w:val="0"/>
          <w:marTop w:val="0"/>
          <w:marBottom w:val="0"/>
          <w:divBdr>
            <w:top w:val="none" w:sz="0" w:space="0" w:color="auto"/>
            <w:left w:val="none" w:sz="0" w:space="0" w:color="auto"/>
            <w:bottom w:val="none" w:sz="0" w:space="0" w:color="auto"/>
            <w:right w:val="none" w:sz="0" w:space="0" w:color="auto"/>
          </w:divBdr>
          <w:divsChild>
            <w:div w:id="1378553922">
              <w:marLeft w:val="0"/>
              <w:marRight w:val="0"/>
              <w:marTop w:val="0"/>
              <w:marBottom w:val="0"/>
              <w:divBdr>
                <w:top w:val="none" w:sz="0" w:space="0" w:color="auto"/>
                <w:left w:val="none" w:sz="0" w:space="0" w:color="auto"/>
                <w:bottom w:val="none" w:sz="0" w:space="0" w:color="auto"/>
                <w:right w:val="none" w:sz="0" w:space="0" w:color="auto"/>
              </w:divBdr>
              <w:divsChild>
                <w:div w:id="2367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6753">
          <w:marLeft w:val="0"/>
          <w:marRight w:val="0"/>
          <w:marTop w:val="0"/>
          <w:marBottom w:val="0"/>
          <w:divBdr>
            <w:top w:val="single" w:sz="6" w:space="11" w:color="DBDBDB"/>
            <w:left w:val="none" w:sz="0" w:space="0" w:color="auto"/>
            <w:bottom w:val="none" w:sz="0" w:space="0" w:color="auto"/>
            <w:right w:val="none" w:sz="0" w:space="0" w:color="auto"/>
          </w:divBdr>
          <w:divsChild>
            <w:div w:id="948506930">
              <w:marLeft w:val="0"/>
              <w:marRight w:val="0"/>
              <w:marTop w:val="0"/>
              <w:marBottom w:val="0"/>
              <w:divBdr>
                <w:top w:val="none" w:sz="0" w:space="0" w:color="auto"/>
                <w:left w:val="none" w:sz="0" w:space="0" w:color="auto"/>
                <w:bottom w:val="none" w:sz="0" w:space="0" w:color="auto"/>
                <w:right w:val="none" w:sz="0" w:space="0" w:color="auto"/>
              </w:divBdr>
            </w:div>
            <w:div w:id="1148009064">
              <w:marLeft w:val="0"/>
              <w:marRight w:val="0"/>
              <w:marTop w:val="0"/>
              <w:marBottom w:val="0"/>
              <w:divBdr>
                <w:top w:val="none" w:sz="0" w:space="0" w:color="auto"/>
                <w:left w:val="none" w:sz="0" w:space="0" w:color="auto"/>
                <w:bottom w:val="none" w:sz="0" w:space="0" w:color="auto"/>
                <w:right w:val="none" w:sz="0" w:space="0" w:color="auto"/>
              </w:divBdr>
            </w:div>
            <w:div w:id="889457459">
              <w:marLeft w:val="0"/>
              <w:marRight w:val="0"/>
              <w:marTop w:val="75"/>
              <w:marBottom w:val="0"/>
              <w:divBdr>
                <w:top w:val="none" w:sz="0" w:space="0" w:color="auto"/>
                <w:left w:val="none" w:sz="0" w:space="0" w:color="auto"/>
                <w:bottom w:val="none" w:sz="0" w:space="0" w:color="auto"/>
                <w:right w:val="none" w:sz="0" w:space="0" w:color="auto"/>
              </w:divBdr>
            </w:div>
          </w:divsChild>
        </w:div>
        <w:div w:id="179779064">
          <w:marLeft w:val="0"/>
          <w:marRight w:val="0"/>
          <w:marTop w:val="0"/>
          <w:marBottom w:val="0"/>
          <w:divBdr>
            <w:top w:val="single" w:sz="6" w:space="11" w:color="DBDBDB"/>
            <w:left w:val="none" w:sz="0" w:space="0" w:color="auto"/>
            <w:bottom w:val="none" w:sz="0" w:space="0" w:color="auto"/>
            <w:right w:val="none" w:sz="0" w:space="0" w:color="auto"/>
          </w:divBdr>
          <w:divsChild>
            <w:div w:id="753481072">
              <w:marLeft w:val="0"/>
              <w:marRight w:val="0"/>
              <w:marTop w:val="0"/>
              <w:marBottom w:val="0"/>
              <w:divBdr>
                <w:top w:val="none" w:sz="0" w:space="0" w:color="auto"/>
                <w:left w:val="none" w:sz="0" w:space="0" w:color="auto"/>
                <w:bottom w:val="none" w:sz="0" w:space="0" w:color="auto"/>
                <w:right w:val="none" w:sz="0" w:space="0" w:color="auto"/>
              </w:divBdr>
            </w:div>
            <w:div w:id="488135519">
              <w:marLeft w:val="0"/>
              <w:marRight w:val="0"/>
              <w:marTop w:val="0"/>
              <w:marBottom w:val="0"/>
              <w:divBdr>
                <w:top w:val="none" w:sz="0" w:space="0" w:color="auto"/>
                <w:left w:val="none" w:sz="0" w:space="0" w:color="auto"/>
                <w:bottom w:val="none" w:sz="0" w:space="0" w:color="auto"/>
                <w:right w:val="none" w:sz="0" w:space="0" w:color="auto"/>
              </w:divBdr>
            </w:div>
            <w:div w:id="2048139904">
              <w:marLeft w:val="0"/>
              <w:marRight w:val="0"/>
              <w:marTop w:val="75"/>
              <w:marBottom w:val="0"/>
              <w:divBdr>
                <w:top w:val="none" w:sz="0" w:space="0" w:color="auto"/>
                <w:left w:val="none" w:sz="0" w:space="0" w:color="auto"/>
                <w:bottom w:val="none" w:sz="0" w:space="0" w:color="auto"/>
                <w:right w:val="none" w:sz="0" w:space="0" w:color="auto"/>
              </w:divBdr>
            </w:div>
          </w:divsChild>
        </w:div>
        <w:div w:id="1409884816">
          <w:marLeft w:val="0"/>
          <w:marRight w:val="0"/>
          <w:marTop w:val="0"/>
          <w:marBottom w:val="0"/>
          <w:divBdr>
            <w:top w:val="single" w:sz="6" w:space="11" w:color="DBDBDB"/>
            <w:left w:val="none" w:sz="0" w:space="0" w:color="auto"/>
            <w:bottom w:val="none" w:sz="0" w:space="0" w:color="auto"/>
            <w:right w:val="none" w:sz="0" w:space="0" w:color="auto"/>
          </w:divBdr>
          <w:divsChild>
            <w:div w:id="58988594">
              <w:marLeft w:val="0"/>
              <w:marRight w:val="0"/>
              <w:marTop w:val="0"/>
              <w:marBottom w:val="0"/>
              <w:divBdr>
                <w:top w:val="none" w:sz="0" w:space="0" w:color="auto"/>
                <w:left w:val="none" w:sz="0" w:space="0" w:color="auto"/>
                <w:bottom w:val="none" w:sz="0" w:space="0" w:color="auto"/>
                <w:right w:val="none" w:sz="0" w:space="0" w:color="auto"/>
              </w:divBdr>
            </w:div>
            <w:div w:id="1104694933">
              <w:marLeft w:val="0"/>
              <w:marRight w:val="0"/>
              <w:marTop w:val="0"/>
              <w:marBottom w:val="0"/>
              <w:divBdr>
                <w:top w:val="none" w:sz="0" w:space="0" w:color="auto"/>
                <w:left w:val="none" w:sz="0" w:space="0" w:color="auto"/>
                <w:bottom w:val="none" w:sz="0" w:space="0" w:color="auto"/>
                <w:right w:val="none" w:sz="0" w:space="0" w:color="auto"/>
              </w:divBdr>
            </w:div>
            <w:div w:id="1406495377">
              <w:marLeft w:val="0"/>
              <w:marRight w:val="0"/>
              <w:marTop w:val="75"/>
              <w:marBottom w:val="0"/>
              <w:divBdr>
                <w:top w:val="none" w:sz="0" w:space="0" w:color="auto"/>
                <w:left w:val="none" w:sz="0" w:space="0" w:color="auto"/>
                <w:bottom w:val="none" w:sz="0" w:space="0" w:color="auto"/>
                <w:right w:val="none" w:sz="0" w:space="0" w:color="auto"/>
              </w:divBdr>
            </w:div>
          </w:divsChild>
        </w:div>
        <w:div w:id="1208371922">
          <w:marLeft w:val="0"/>
          <w:marRight w:val="0"/>
          <w:marTop w:val="0"/>
          <w:marBottom w:val="0"/>
          <w:divBdr>
            <w:top w:val="single" w:sz="6" w:space="11" w:color="DBDBDB"/>
            <w:left w:val="none" w:sz="0" w:space="0" w:color="auto"/>
            <w:bottom w:val="none" w:sz="0" w:space="0" w:color="auto"/>
            <w:right w:val="none" w:sz="0" w:space="0" w:color="auto"/>
          </w:divBdr>
          <w:divsChild>
            <w:div w:id="14161068">
              <w:marLeft w:val="0"/>
              <w:marRight w:val="0"/>
              <w:marTop w:val="0"/>
              <w:marBottom w:val="0"/>
              <w:divBdr>
                <w:top w:val="none" w:sz="0" w:space="0" w:color="auto"/>
                <w:left w:val="none" w:sz="0" w:space="0" w:color="auto"/>
                <w:bottom w:val="none" w:sz="0" w:space="0" w:color="auto"/>
                <w:right w:val="none" w:sz="0" w:space="0" w:color="auto"/>
              </w:divBdr>
            </w:div>
            <w:div w:id="331834223">
              <w:marLeft w:val="0"/>
              <w:marRight w:val="0"/>
              <w:marTop w:val="0"/>
              <w:marBottom w:val="0"/>
              <w:divBdr>
                <w:top w:val="none" w:sz="0" w:space="0" w:color="auto"/>
                <w:left w:val="none" w:sz="0" w:space="0" w:color="auto"/>
                <w:bottom w:val="none" w:sz="0" w:space="0" w:color="auto"/>
                <w:right w:val="none" w:sz="0" w:space="0" w:color="auto"/>
              </w:divBdr>
            </w:div>
            <w:div w:id="784466322">
              <w:marLeft w:val="0"/>
              <w:marRight w:val="0"/>
              <w:marTop w:val="75"/>
              <w:marBottom w:val="0"/>
              <w:divBdr>
                <w:top w:val="none" w:sz="0" w:space="0" w:color="auto"/>
                <w:left w:val="none" w:sz="0" w:space="0" w:color="auto"/>
                <w:bottom w:val="none" w:sz="0" w:space="0" w:color="auto"/>
                <w:right w:val="none" w:sz="0" w:space="0" w:color="auto"/>
              </w:divBdr>
            </w:div>
          </w:divsChild>
        </w:div>
        <w:div w:id="1428502727">
          <w:marLeft w:val="0"/>
          <w:marRight w:val="0"/>
          <w:marTop w:val="0"/>
          <w:marBottom w:val="0"/>
          <w:divBdr>
            <w:top w:val="single" w:sz="6" w:space="11" w:color="DBDBDB"/>
            <w:left w:val="none" w:sz="0" w:space="0" w:color="auto"/>
            <w:bottom w:val="none" w:sz="0" w:space="0" w:color="auto"/>
            <w:right w:val="none" w:sz="0" w:space="0" w:color="auto"/>
          </w:divBdr>
          <w:divsChild>
            <w:div w:id="2113472199">
              <w:marLeft w:val="0"/>
              <w:marRight w:val="0"/>
              <w:marTop w:val="0"/>
              <w:marBottom w:val="0"/>
              <w:divBdr>
                <w:top w:val="none" w:sz="0" w:space="0" w:color="auto"/>
                <w:left w:val="none" w:sz="0" w:space="0" w:color="auto"/>
                <w:bottom w:val="none" w:sz="0" w:space="0" w:color="auto"/>
                <w:right w:val="none" w:sz="0" w:space="0" w:color="auto"/>
              </w:divBdr>
            </w:div>
            <w:div w:id="314988367">
              <w:marLeft w:val="0"/>
              <w:marRight w:val="0"/>
              <w:marTop w:val="0"/>
              <w:marBottom w:val="0"/>
              <w:divBdr>
                <w:top w:val="none" w:sz="0" w:space="0" w:color="auto"/>
                <w:left w:val="none" w:sz="0" w:space="0" w:color="auto"/>
                <w:bottom w:val="none" w:sz="0" w:space="0" w:color="auto"/>
                <w:right w:val="none" w:sz="0" w:space="0" w:color="auto"/>
              </w:divBdr>
            </w:div>
            <w:div w:id="639842894">
              <w:marLeft w:val="0"/>
              <w:marRight w:val="0"/>
              <w:marTop w:val="75"/>
              <w:marBottom w:val="0"/>
              <w:divBdr>
                <w:top w:val="none" w:sz="0" w:space="0" w:color="auto"/>
                <w:left w:val="none" w:sz="0" w:space="0" w:color="auto"/>
                <w:bottom w:val="none" w:sz="0" w:space="0" w:color="auto"/>
                <w:right w:val="none" w:sz="0" w:space="0" w:color="auto"/>
              </w:divBdr>
            </w:div>
          </w:divsChild>
        </w:div>
        <w:div w:id="1903103392">
          <w:marLeft w:val="0"/>
          <w:marRight w:val="0"/>
          <w:marTop w:val="0"/>
          <w:marBottom w:val="0"/>
          <w:divBdr>
            <w:top w:val="single" w:sz="6" w:space="11" w:color="DBDBDB"/>
            <w:left w:val="none" w:sz="0" w:space="0" w:color="auto"/>
            <w:bottom w:val="none" w:sz="0" w:space="0" w:color="auto"/>
            <w:right w:val="none" w:sz="0" w:space="0" w:color="auto"/>
          </w:divBdr>
          <w:divsChild>
            <w:div w:id="1321422236">
              <w:marLeft w:val="0"/>
              <w:marRight w:val="0"/>
              <w:marTop w:val="0"/>
              <w:marBottom w:val="0"/>
              <w:divBdr>
                <w:top w:val="none" w:sz="0" w:space="0" w:color="auto"/>
                <w:left w:val="none" w:sz="0" w:space="0" w:color="auto"/>
                <w:bottom w:val="none" w:sz="0" w:space="0" w:color="auto"/>
                <w:right w:val="none" w:sz="0" w:space="0" w:color="auto"/>
              </w:divBdr>
            </w:div>
            <w:div w:id="56056693">
              <w:marLeft w:val="0"/>
              <w:marRight w:val="0"/>
              <w:marTop w:val="0"/>
              <w:marBottom w:val="0"/>
              <w:divBdr>
                <w:top w:val="none" w:sz="0" w:space="0" w:color="auto"/>
                <w:left w:val="none" w:sz="0" w:space="0" w:color="auto"/>
                <w:bottom w:val="none" w:sz="0" w:space="0" w:color="auto"/>
                <w:right w:val="none" w:sz="0" w:space="0" w:color="auto"/>
              </w:divBdr>
            </w:div>
            <w:div w:id="853039387">
              <w:marLeft w:val="0"/>
              <w:marRight w:val="0"/>
              <w:marTop w:val="75"/>
              <w:marBottom w:val="0"/>
              <w:divBdr>
                <w:top w:val="none" w:sz="0" w:space="0" w:color="auto"/>
                <w:left w:val="none" w:sz="0" w:space="0" w:color="auto"/>
                <w:bottom w:val="none" w:sz="0" w:space="0" w:color="auto"/>
                <w:right w:val="none" w:sz="0" w:space="0" w:color="auto"/>
              </w:divBdr>
            </w:div>
          </w:divsChild>
        </w:div>
        <w:div w:id="1783568639">
          <w:marLeft w:val="0"/>
          <w:marRight w:val="0"/>
          <w:marTop w:val="0"/>
          <w:marBottom w:val="0"/>
          <w:divBdr>
            <w:top w:val="single" w:sz="6" w:space="11" w:color="DBDBDB"/>
            <w:left w:val="none" w:sz="0" w:space="0" w:color="auto"/>
            <w:bottom w:val="none" w:sz="0" w:space="0" w:color="auto"/>
            <w:right w:val="none" w:sz="0" w:space="0" w:color="auto"/>
          </w:divBdr>
          <w:divsChild>
            <w:div w:id="840969734">
              <w:marLeft w:val="0"/>
              <w:marRight w:val="0"/>
              <w:marTop w:val="0"/>
              <w:marBottom w:val="0"/>
              <w:divBdr>
                <w:top w:val="none" w:sz="0" w:space="0" w:color="auto"/>
                <w:left w:val="none" w:sz="0" w:space="0" w:color="auto"/>
                <w:bottom w:val="none" w:sz="0" w:space="0" w:color="auto"/>
                <w:right w:val="none" w:sz="0" w:space="0" w:color="auto"/>
              </w:divBdr>
            </w:div>
            <w:div w:id="1032654228">
              <w:marLeft w:val="0"/>
              <w:marRight w:val="0"/>
              <w:marTop w:val="0"/>
              <w:marBottom w:val="0"/>
              <w:divBdr>
                <w:top w:val="none" w:sz="0" w:space="0" w:color="auto"/>
                <w:left w:val="none" w:sz="0" w:space="0" w:color="auto"/>
                <w:bottom w:val="none" w:sz="0" w:space="0" w:color="auto"/>
                <w:right w:val="none" w:sz="0" w:space="0" w:color="auto"/>
              </w:divBdr>
            </w:div>
            <w:div w:id="1784768605">
              <w:marLeft w:val="0"/>
              <w:marRight w:val="0"/>
              <w:marTop w:val="75"/>
              <w:marBottom w:val="0"/>
              <w:divBdr>
                <w:top w:val="none" w:sz="0" w:space="0" w:color="auto"/>
                <w:left w:val="none" w:sz="0" w:space="0" w:color="auto"/>
                <w:bottom w:val="none" w:sz="0" w:space="0" w:color="auto"/>
                <w:right w:val="none" w:sz="0" w:space="0" w:color="auto"/>
              </w:divBdr>
            </w:div>
          </w:divsChild>
        </w:div>
        <w:div w:id="991374223">
          <w:marLeft w:val="0"/>
          <w:marRight w:val="0"/>
          <w:marTop w:val="0"/>
          <w:marBottom w:val="0"/>
          <w:divBdr>
            <w:top w:val="single" w:sz="6" w:space="11" w:color="DBDBDB"/>
            <w:left w:val="none" w:sz="0" w:space="0" w:color="auto"/>
            <w:bottom w:val="none" w:sz="0" w:space="0" w:color="auto"/>
            <w:right w:val="none" w:sz="0" w:space="0" w:color="auto"/>
          </w:divBdr>
          <w:divsChild>
            <w:div w:id="279186051">
              <w:marLeft w:val="0"/>
              <w:marRight w:val="0"/>
              <w:marTop w:val="0"/>
              <w:marBottom w:val="0"/>
              <w:divBdr>
                <w:top w:val="none" w:sz="0" w:space="0" w:color="auto"/>
                <w:left w:val="none" w:sz="0" w:space="0" w:color="auto"/>
                <w:bottom w:val="none" w:sz="0" w:space="0" w:color="auto"/>
                <w:right w:val="none" w:sz="0" w:space="0" w:color="auto"/>
              </w:divBdr>
            </w:div>
            <w:div w:id="1141507730">
              <w:marLeft w:val="0"/>
              <w:marRight w:val="0"/>
              <w:marTop w:val="0"/>
              <w:marBottom w:val="0"/>
              <w:divBdr>
                <w:top w:val="none" w:sz="0" w:space="0" w:color="auto"/>
                <w:left w:val="none" w:sz="0" w:space="0" w:color="auto"/>
                <w:bottom w:val="none" w:sz="0" w:space="0" w:color="auto"/>
                <w:right w:val="none" w:sz="0" w:space="0" w:color="auto"/>
              </w:divBdr>
            </w:div>
            <w:div w:id="304939039">
              <w:marLeft w:val="0"/>
              <w:marRight w:val="0"/>
              <w:marTop w:val="75"/>
              <w:marBottom w:val="0"/>
              <w:divBdr>
                <w:top w:val="none" w:sz="0" w:space="0" w:color="auto"/>
                <w:left w:val="none" w:sz="0" w:space="0" w:color="auto"/>
                <w:bottom w:val="none" w:sz="0" w:space="0" w:color="auto"/>
                <w:right w:val="none" w:sz="0" w:space="0" w:color="auto"/>
              </w:divBdr>
            </w:div>
          </w:divsChild>
        </w:div>
        <w:div w:id="494419250">
          <w:marLeft w:val="0"/>
          <w:marRight w:val="0"/>
          <w:marTop w:val="0"/>
          <w:marBottom w:val="0"/>
          <w:divBdr>
            <w:top w:val="single" w:sz="6" w:space="11" w:color="DBDBDB"/>
            <w:left w:val="none" w:sz="0" w:space="0" w:color="auto"/>
            <w:bottom w:val="none" w:sz="0" w:space="0" w:color="auto"/>
            <w:right w:val="none" w:sz="0" w:space="0" w:color="auto"/>
          </w:divBdr>
          <w:divsChild>
            <w:div w:id="604922936">
              <w:marLeft w:val="0"/>
              <w:marRight w:val="0"/>
              <w:marTop w:val="0"/>
              <w:marBottom w:val="0"/>
              <w:divBdr>
                <w:top w:val="none" w:sz="0" w:space="0" w:color="auto"/>
                <w:left w:val="none" w:sz="0" w:space="0" w:color="auto"/>
                <w:bottom w:val="none" w:sz="0" w:space="0" w:color="auto"/>
                <w:right w:val="none" w:sz="0" w:space="0" w:color="auto"/>
              </w:divBdr>
            </w:div>
            <w:div w:id="14664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224&amp;idArticle=LEGIARTI000029733936&amp;dateTexte=&amp;categorieLien=cid" TargetMode="External"/><Relationship Id="rId13" Type="http://schemas.openxmlformats.org/officeDocument/2006/relationships/hyperlink" Target="https://www.legifrance.gouv.fr/codes/article_lc/LEGIARTI000029733940" TargetMode="External"/><Relationship Id="rId18" Type="http://schemas.openxmlformats.org/officeDocument/2006/relationships/hyperlink" Target="https://www.legifrance.gouv.fr/affichCodeArticle.do?cidTexte=LEGITEXT000006074224&amp;idArticle=LEGIARTI000029733732&amp;dateTexte=&amp;categorieLien=cid" TargetMode="External"/><Relationship Id="rId26" Type="http://schemas.openxmlformats.org/officeDocument/2006/relationships/hyperlink" Target="https://www.legifrance.gouv.fr/affichCodeArticle.do?cidTexte=LEGITEXT000006074224&amp;idArticle=LEGIARTI000029733936&amp;dateTexte=&amp;categorieLien=cid" TargetMode="External"/><Relationship Id="rId3" Type="http://schemas.openxmlformats.org/officeDocument/2006/relationships/settings" Target="settings.xml"/><Relationship Id="rId21" Type="http://schemas.openxmlformats.org/officeDocument/2006/relationships/hyperlink" Target="https://www.legifrance.gouv.fr/affichCodeArticle.do?cidTexte=LEGITEXT000006074224&amp;idArticle=LEGIARTI000049398516&amp;dateTexte=&amp;categorieLien=id" TargetMode="External"/><Relationship Id="rId7" Type="http://schemas.openxmlformats.org/officeDocument/2006/relationships/hyperlink" Target="https://www.legifrance.gouv.fr/codes/article_lc/LEGIARTI000049398524" TargetMode="External"/><Relationship Id="rId12" Type="http://schemas.openxmlformats.org/officeDocument/2006/relationships/hyperlink" Target="https://www.legifrance.gouv.fr/affichCodeArticle.do?cidTexte=LEGITEXT000006074224&amp;idArticle=LEGIARTI000029733936&amp;dateTexte=&amp;categorieLien=cid" TargetMode="External"/><Relationship Id="rId17" Type="http://schemas.openxmlformats.org/officeDocument/2006/relationships/hyperlink" Target="https://www.legifrance.gouv.fr/affichCodeArticle.do?cidTexte=LEGITEXT000006074224&amp;idArticle=LEGIARTI000029733934&amp;dateTexte=&amp;categorieLien=cid" TargetMode="External"/><Relationship Id="rId25" Type="http://schemas.openxmlformats.org/officeDocument/2006/relationships/hyperlink" Target="https://www.legifrance.gouv.fr/codes/article_lc/LEGIARTI000029733950" TargetMode="External"/><Relationship Id="rId2" Type="http://schemas.openxmlformats.org/officeDocument/2006/relationships/styles" Target="styles.xml"/><Relationship Id="rId16" Type="http://schemas.openxmlformats.org/officeDocument/2006/relationships/hyperlink" Target="https://www.legifrance.gouv.fr/codes/article_lc/LEGIARTI000029733942" TargetMode="External"/><Relationship Id="rId20" Type="http://schemas.openxmlformats.org/officeDocument/2006/relationships/hyperlink" Target="https://www.legifrance.gouv.fr/codes/article_lc/LEGIARTI00004939851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codes/article_lc/LEGIARTI000029733938" TargetMode="External"/><Relationship Id="rId24" Type="http://schemas.openxmlformats.org/officeDocument/2006/relationships/hyperlink" Target="https://www.legifrance.gouv.fr/codes/article_lc/LEGIARTI000029733948" TargetMode="External"/><Relationship Id="rId5" Type="http://schemas.openxmlformats.org/officeDocument/2006/relationships/footnotes" Target="footnotes.xml"/><Relationship Id="rId15" Type="http://schemas.openxmlformats.org/officeDocument/2006/relationships/hyperlink" Target="https://www.legifrance.gouv.fr/affichCodeArticle.do?cidTexte=LEGITEXT000006074224&amp;idArticle=LEGIARTI000029733698&amp;dateTexte=&amp;categorieLien=cid" TargetMode="External"/><Relationship Id="rId23" Type="http://schemas.openxmlformats.org/officeDocument/2006/relationships/hyperlink" Target="https://www.legifrance.gouv.fr/affichCodeArticle.do?cidTexte=LEGITEXT000006074096&amp;idArticle=LEGIARTI000006825785&amp;dateTexte=&amp;categorieLien=cid" TargetMode="External"/><Relationship Id="rId28" Type="http://schemas.openxmlformats.org/officeDocument/2006/relationships/footer" Target="footer1.xml"/><Relationship Id="rId10" Type="http://schemas.openxmlformats.org/officeDocument/2006/relationships/hyperlink" Target="https://www.legifrance.gouv.fr/codes/article_lc/LEGIARTI000049398516" TargetMode="External"/><Relationship Id="rId19" Type="http://schemas.openxmlformats.org/officeDocument/2006/relationships/hyperlink" Target="https://www.legifrance.gouv.fr/affichCodeArticle.do?cidTexte=LEGITEXT000006074224&amp;idArticle=LEGIARTI000029733944&amp;dateTexte=&amp;categorieLien=ci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4075&amp;idArticle=LEGIARTI000006815166&amp;dateTexte=&amp;categorieLien=cid" TargetMode="External"/><Relationship Id="rId14" Type="http://schemas.openxmlformats.org/officeDocument/2006/relationships/hyperlink" Target="https://www.legifrance.gouv.fr/affichCodeArticle.do?cidTexte=LEGITEXT000006074224&amp;idArticle=LEGIARTI000029733936&amp;dateTexte=&amp;categorieLien=cid" TargetMode="External"/><Relationship Id="rId22" Type="http://schemas.openxmlformats.org/officeDocument/2006/relationships/hyperlink" Target="https://www.legifrance.gouv.fr/codes/article_lc/LEGIARTI000029733946" TargetMode="External"/><Relationship Id="rId27" Type="http://schemas.openxmlformats.org/officeDocument/2006/relationships/hyperlink" Target="https://www.legifrance.gouv.fr/affichCodeArticle.do?cidTexte=LEGITEXT000006074075&amp;idArticle=LEGIARTI000029738291&amp;dateTexte=&amp;categorieLien=id"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1283</Words>
  <Characters>7062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bouche</dc:creator>
  <cp:lastModifiedBy>nancy bouche</cp:lastModifiedBy>
  <cp:revision>3</cp:revision>
  <dcterms:created xsi:type="dcterms:W3CDTF">2025-02-18T07:20:00Z</dcterms:created>
  <dcterms:modified xsi:type="dcterms:W3CDTF">2026-05-27T16:19:00Z</dcterms:modified>
</cp:coreProperties>
</file>