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84" w:rsidRPr="004A6984" w:rsidRDefault="004A6984" w:rsidP="004A6984">
      <w:pPr>
        <w:shd w:val="clear" w:color="auto" w:fill="F7F7F7"/>
        <w:spacing w:after="150" w:line="240" w:lineRule="auto"/>
        <w:rPr>
          <w:rFonts w:ascii="Arial" w:eastAsia="Times New Roman" w:hAnsi="Arial" w:cs="Arial"/>
          <w:b/>
          <w:bCs/>
          <w:color w:val="666666"/>
          <w:sz w:val="28"/>
          <w:szCs w:val="28"/>
          <w:lang w:eastAsia="fr-FR"/>
        </w:rPr>
      </w:pPr>
      <w:r w:rsidRPr="004A6984">
        <w:rPr>
          <w:rFonts w:ascii="Arial" w:eastAsia="Times New Roman" w:hAnsi="Arial" w:cs="Arial"/>
          <w:b/>
          <w:bCs/>
          <w:color w:val="666666"/>
          <w:sz w:val="28"/>
          <w:szCs w:val="28"/>
          <w:lang w:eastAsia="fr-FR"/>
        </w:rPr>
        <w:t xml:space="preserve">DELIBERATION DU CA MARS 2023 – RHI ET THIRORI </w:t>
      </w:r>
    </w:p>
    <w:p w:rsidR="004A6984" w:rsidRDefault="004A6984" w:rsidP="004A6984">
      <w:pPr>
        <w:shd w:val="clear" w:color="auto" w:fill="F7F7F7"/>
        <w:spacing w:after="150" w:line="240" w:lineRule="auto"/>
        <w:rPr>
          <w:rFonts w:ascii="Arial" w:eastAsia="Times New Roman" w:hAnsi="Arial" w:cs="Arial"/>
          <w:b/>
          <w:bCs/>
          <w:color w:val="666666"/>
          <w:sz w:val="21"/>
          <w:szCs w:val="21"/>
          <w:lang w:eastAsia="fr-FR"/>
        </w:rPr>
      </w:pPr>
    </w:p>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b/>
          <w:bCs/>
          <w:color w:val="666666"/>
          <w:sz w:val="21"/>
          <w:lang w:eastAsia="fr-FR"/>
        </w:rPr>
        <w:t>I</w:t>
      </w:r>
      <w:r w:rsidRPr="004A6984">
        <w:rPr>
          <w:rFonts w:ascii="Arial" w:eastAsia="Times New Roman" w:hAnsi="Arial" w:cs="Arial"/>
          <w:b/>
          <w:bCs/>
          <w:color w:val="666666"/>
          <w:lang w:eastAsia="fr-FR"/>
        </w:rPr>
        <w:t>- </w:t>
      </w:r>
      <w:r w:rsidRPr="004A6984">
        <w:rPr>
          <w:rFonts w:ascii="Arial" w:eastAsia="Times New Roman" w:hAnsi="Arial" w:cs="Arial"/>
          <w:b/>
          <w:bCs/>
          <w:color w:val="666666"/>
          <w:u w:val="single"/>
          <w:lang w:eastAsia="fr-FR"/>
        </w:rPr>
        <w:t>Des assouplissements procéduraux pour les dossiers de RHI-THIRORI</w:t>
      </w:r>
    </w:p>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 </w:t>
      </w:r>
    </w:p>
    <w:p w:rsidR="004A6984" w:rsidRPr="004A6984" w:rsidRDefault="004A6984" w:rsidP="004A6984">
      <w:pPr>
        <w:numPr>
          <w:ilvl w:val="0"/>
          <w:numId w:val="1"/>
        </w:numPr>
        <w:shd w:val="clear" w:color="auto" w:fill="F7F7F7"/>
        <w:spacing w:before="100" w:beforeAutospacing="1" w:after="100" w:afterAutospacing="1" w:line="240" w:lineRule="auto"/>
        <w:rPr>
          <w:rFonts w:ascii="Arial" w:eastAsia="Times New Roman" w:hAnsi="Arial" w:cs="Arial"/>
          <w:color w:val="666666"/>
          <w:lang w:eastAsia="fr-FR"/>
        </w:rPr>
      </w:pPr>
      <w:r w:rsidRPr="004A6984">
        <w:rPr>
          <w:rFonts w:ascii="Arial" w:eastAsia="Times New Roman" w:hAnsi="Arial" w:cs="Arial"/>
          <w:color w:val="666666"/>
          <w:u w:val="single"/>
          <w:lang w:eastAsia="fr-FR"/>
        </w:rPr>
        <w:t>Le recentrage de la compétence obligatoire de la CNLHI sur les dossiers à forts enjeux</w:t>
      </w:r>
    </w:p>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 </w:t>
      </w:r>
    </w:p>
    <w:p w:rsidR="004A6984" w:rsidRPr="004A6984" w:rsidRDefault="004A6984" w:rsidP="004A6984">
      <w:pPr>
        <w:shd w:val="clear" w:color="auto" w:fill="F7F7F7"/>
        <w:spacing w:after="150"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t>En application du décret n° 2023-126 du 22 février 2023, à des fins de simplification de la procédure applicable au traitement des dossiers de résorption et de traitement de l’habitat insalubre irrémédiable ou dangereux, ainsi que de restauration immobilière (RHI-THIRORI), le chapitre V du RGA est actualisé (préambule, articles 55, 56, 57, 61 et 62) afin de tenir compte du resserrement du champ de compétences obligatoire de la CNLHI.</w:t>
      </w:r>
    </w:p>
    <w:p w:rsidR="004A6984" w:rsidRPr="004A6984" w:rsidRDefault="004A6984" w:rsidP="004A6984">
      <w:pPr>
        <w:shd w:val="clear" w:color="auto" w:fill="F7F7F7"/>
        <w:spacing w:after="150"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t>Jusqu’alors la CNLHI était obligatoirement consultée sur l’ensemble des opérations de RHI-THIRORI, au stade de l’éligibilité, du versement du solde, et le cas échéant en cas de retrait/reversement de l’aide accordée. Ainsi, un même dossier pouvait être examiné plusieurs fois par la Commission, à plusieurs stades de la procédure (financement, versement du solde, éventuel retrait de l’aide).</w:t>
      </w:r>
    </w:p>
    <w:p w:rsidR="004A6984" w:rsidRPr="004A6984" w:rsidRDefault="004A6984" w:rsidP="004A6984">
      <w:pPr>
        <w:shd w:val="clear" w:color="auto" w:fill="F7F7F7"/>
        <w:spacing w:after="150"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t>L’arrêté du 22 mai 2023 vise à mettre en cohérence les dispositions du RGA relatives à la compétence de la CNLHI avec l’article R. 321-6-4 du CCH tel que modifié par le décret susvisé qui dispose désormais que : </w:t>
      </w:r>
      <w:r w:rsidRPr="004A6984">
        <w:rPr>
          <w:rFonts w:ascii="Arial" w:eastAsia="Times New Roman" w:hAnsi="Arial" w:cs="Arial"/>
          <w:i/>
          <w:iCs/>
          <w:color w:val="666666"/>
          <w:lang w:eastAsia="fr-FR"/>
        </w:rPr>
        <w:t>«</w:t>
      </w:r>
      <w:r w:rsidRPr="004A6984">
        <w:rPr>
          <w:rFonts w:ascii="Arial" w:eastAsia="Times New Roman" w:hAnsi="Arial" w:cs="Arial"/>
          <w:color w:val="666666"/>
          <w:lang w:eastAsia="fr-FR"/>
        </w:rPr>
        <w:t> </w:t>
      </w:r>
      <w:r w:rsidRPr="004A6984">
        <w:rPr>
          <w:rFonts w:ascii="Arial" w:eastAsia="Times New Roman" w:hAnsi="Arial" w:cs="Arial"/>
          <w:i/>
          <w:iCs/>
          <w:color w:val="666666"/>
          <w:lang w:eastAsia="fr-FR"/>
        </w:rPr>
        <w:t>Cette commission est chargée de rendre des avis sur le financement par l'agence des opérations prévues aux IV et V de l'article R. 321-12 excédant le seuil fixé par le conseil d'administration conformément au 8° du I de l'article R. 321-5</w:t>
      </w:r>
      <w:r w:rsidRPr="004A6984">
        <w:rPr>
          <w:rFonts w:ascii="Arial" w:eastAsia="Times New Roman" w:hAnsi="Arial" w:cs="Arial"/>
          <w:color w:val="666666"/>
          <w:lang w:eastAsia="fr-FR"/>
        </w:rPr>
        <w:t> </w:t>
      </w:r>
      <w:r w:rsidRPr="004A6984">
        <w:rPr>
          <w:rFonts w:ascii="Arial" w:eastAsia="Times New Roman" w:hAnsi="Arial" w:cs="Arial"/>
          <w:i/>
          <w:iCs/>
          <w:color w:val="666666"/>
          <w:lang w:eastAsia="fr-FR"/>
        </w:rPr>
        <w:t>»</w:t>
      </w:r>
      <w:r w:rsidRPr="004A6984">
        <w:rPr>
          <w:rFonts w:ascii="Arial" w:eastAsia="Times New Roman" w:hAnsi="Arial" w:cs="Arial"/>
          <w:color w:val="666666"/>
          <w:lang w:eastAsia="fr-FR"/>
        </w:rPr>
        <w:t>. Ce seuil est fixé par la délibération n°2023-13 du 15 mars 2023 relative au financement des opérations de RHI-THIRORI à 450 000 euros TTC.  </w:t>
      </w:r>
    </w:p>
    <w:p w:rsidR="004A6984" w:rsidRDefault="004A6984" w:rsidP="004A6984">
      <w:pPr>
        <w:shd w:val="clear" w:color="auto" w:fill="F7F7F7"/>
        <w:spacing w:after="150" w:line="240" w:lineRule="auto"/>
        <w:rPr>
          <w:rFonts w:ascii="Arial" w:eastAsia="Times New Roman" w:hAnsi="Arial" w:cs="Arial"/>
          <w:color w:val="666666"/>
          <w:u w:val="single"/>
          <w:lang w:eastAsia="fr-FR"/>
        </w:rPr>
      </w:pPr>
    </w:p>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color w:val="666666"/>
          <w:u w:val="single"/>
          <w:lang w:eastAsia="fr-FR"/>
        </w:rPr>
        <w:t>Procédure applicable aux dossiers déposés à compter du 4 juin 2023</w:t>
      </w:r>
    </w:p>
    <w:p w:rsidR="004A6984" w:rsidRPr="004A6984" w:rsidRDefault="004A6984" w:rsidP="004A6984">
      <w:pPr>
        <w:shd w:val="clear" w:color="auto" w:fill="F7F7F7"/>
        <w:spacing w:after="150" w:line="240" w:lineRule="auto"/>
        <w:jc w:val="center"/>
        <w:rPr>
          <w:rFonts w:ascii="Arial" w:eastAsia="Times New Roman" w:hAnsi="Arial" w:cs="Arial"/>
          <w:color w:val="666666"/>
          <w:lang w:eastAsia="fr-FR"/>
        </w:rPr>
      </w:pPr>
      <w:r w:rsidRPr="004A6984">
        <w:rPr>
          <w:rFonts w:ascii="Arial" w:eastAsia="Times New Roman" w:hAnsi="Arial" w:cs="Arial"/>
          <w:color w:val="666666"/>
          <w:lang w:eastAsia="fr-FR"/>
        </w:rPr>
        <w:t> </w:t>
      </w:r>
    </w:p>
    <w:tbl>
      <w:tblPr>
        <w:tblW w:w="10065" w:type="dxa"/>
        <w:tblBorders>
          <w:top w:val="outset" w:sz="6" w:space="0" w:color="auto"/>
          <w:left w:val="outset" w:sz="6" w:space="0" w:color="auto"/>
          <w:bottom w:val="outset" w:sz="6" w:space="0" w:color="auto"/>
          <w:right w:val="outset" w:sz="6" w:space="0" w:color="auto"/>
        </w:tblBorders>
        <w:shd w:val="clear" w:color="auto" w:fill="F7F7F7"/>
        <w:tblCellMar>
          <w:left w:w="0" w:type="dxa"/>
          <w:right w:w="0" w:type="dxa"/>
        </w:tblCellMar>
        <w:tblLook w:val="04A0"/>
      </w:tblPr>
      <w:tblGrid>
        <w:gridCol w:w="2131"/>
        <w:gridCol w:w="2424"/>
        <w:gridCol w:w="2755"/>
        <w:gridCol w:w="2755"/>
      </w:tblGrid>
      <w:tr w:rsidR="004A6984" w:rsidRPr="004A6984" w:rsidTr="004A6984">
        <w:tc>
          <w:tcPr>
            <w:tcW w:w="2475"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proofErr w:type="spellStart"/>
            <w:r w:rsidRPr="004A6984">
              <w:rPr>
                <w:rFonts w:ascii="Arial" w:eastAsia="Times New Roman" w:hAnsi="Arial" w:cs="Arial"/>
                <w:b/>
                <w:bCs/>
                <w:color w:val="666666"/>
                <w:lang w:eastAsia="fr-FR"/>
              </w:rPr>
              <w:t>Etape</w:t>
            </w:r>
            <w:proofErr w:type="spellEnd"/>
            <w:r w:rsidRPr="004A6984">
              <w:rPr>
                <w:rFonts w:ascii="Arial" w:eastAsia="Times New Roman" w:hAnsi="Arial" w:cs="Arial"/>
                <w:b/>
                <w:bCs/>
                <w:color w:val="666666"/>
                <w:lang w:eastAsia="fr-FR"/>
              </w:rPr>
              <w:t xml:space="preserve"> du dossier</w:t>
            </w:r>
          </w:p>
        </w:tc>
        <w:tc>
          <w:tcPr>
            <w:tcW w:w="231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b/>
                <w:bCs/>
                <w:color w:val="666666"/>
                <w:lang w:eastAsia="fr-FR"/>
              </w:rPr>
              <w:t>Financement</w:t>
            </w:r>
          </w:p>
        </w:tc>
        <w:tc>
          <w:tcPr>
            <w:tcW w:w="273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b/>
                <w:bCs/>
                <w:color w:val="666666"/>
                <w:lang w:eastAsia="fr-FR"/>
              </w:rPr>
              <w:t>Versement du solde</w:t>
            </w:r>
          </w:p>
        </w:tc>
        <w:tc>
          <w:tcPr>
            <w:tcW w:w="255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b/>
                <w:bCs/>
                <w:color w:val="666666"/>
                <w:lang w:eastAsia="fr-FR"/>
              </w:rPr>
              <w:t>Retrait de l’aide</w:t>
            </w:r>
          </w:p>
        </w:tc>
      </w:tr>
      <w:tr w:rsidR="004A6984" w:rsidRPr="004A6984" w:rsidTr="004A6984">
        <w:tc>
          <w:tcPr>
            <w:tcW w:w="2475"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Dossier dont le montant prévisionnel est inférieur ou égal à 450 000 euros TTC</w:t>
            </w:r>
          </w:p>
        </w:tc>
        <w:tc>
          <w:tcPr>
            <w:tcW w:w="7590" w:type="dxa"/>
            <w:gridSpan w:val="3"/>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150" w:line="240" w:lineRule="auto"/>
              <w:jc w:val="center"/>
              <w:rPr>
                <w:rFonts w:ascii="Arial" w:eastAsia="Times New Roman" w:hAnsi="Arial" w:cs="Arial"/>
                <w:color w:val="666666"/>
                <w:lang w:eastAsia="fr-FR"/>
              </w:rPr>
            </w:pPr>
            <w:r w:rsidRPr="004A6984">
              <w:rPr>
                <w:rFonts w:ascii="Arial" w:eastAsia="Times New Roman" w:hAnsi="Arial" w:cs="Arial"/>
                <w:color w:val="666666"/>
                <w:lang w:eastAsia="fr-FR"/>
              </w:rPr>
              <w:t> </w:t>
            </w:r>
          </w:p>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color w:val="666666"/>
                <w:lang w:eastAsia="fr-FR"/>
              </w:rPr>
              <w:t>Consultation </w:t>
            </w:r>
            <w:r w:rsidRPr="004A6984">
              <w:rPr>
                <w:rFonts w:ascii="Arial" w:eastAsia="Times New Roman" w:hAnsi="Arial" w:cs="Arial"/>
                <w:b/>
                <w:bCs/>
                <w:color w:val="666666"/>
                <w:lang w:eastAsia="fr-FR"/>
              </w:rPr>
              <w:t>facultative</w:t>
            </w:r>
            <w:r w:rsidRPr="004A6984">
              <w:rPr>
                <w:rFonts w:ascii="Arial" w:eastAsia="Times New Roman" w:hAnsi="Arial" w:cs="Arial"/>
                <w:color w:val="666666"/>
                <w:lang w:eastAsia="fr-FR"/>
              </w:rPr>
              <w:t> de la CNLHI à l’initiative du DG de l’ANAH.</w:t>
            </w:r>
          </w:p>
        </w:tc>
      </w:tr>
      <w:tr w:rsidR="004A6984" w:rsidRPr="004A6984" w:rsidTr="004A6984">
        <w:tc>
          <w:tcPr>
            <w:tcW w:w="2475"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Dossier dont le montant prévisionnel est supérieur à 450 000 euros TTC</w:t>
            </w:r>
          </w:p>
        </w:tc>
        <w:tc>
          <w:tcPr>
            <w:tcW w:w="231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color w:val="666666"/>
                <w:lang w:eastAsia="fr-FR"/>
              </w:rPr>
              <w:t>Consultation </w:t>
            </w:r>
            <w:r w:rsidRPr="004A6984">
              <w:rPr>
                <w:rFonts w:ascii="Arial" w:eastAsia="Times New Roman" w:hAnsi="Arial" w:cs="Arial"/>
                <w:b/>
                <w:bCs/>
                <w:color w:val="666666"/>
                <w:lang w:eastAsia="fr-FR"/>
              </w:rPr>
              <w:t>obligatoire</w:t>
            </w:r>
          </w:p>
        </w:tc>
        <w:tc>
          <w:tcPr>
            <w:tcW w:w="273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color w:val="666666"/>
                <w:lang w:eastAsia="fr-FR"/>
              </w:rPr>
              <w:t>Consultation </w:t>
            </w:r>
            <w:r w:rsidRPr="004A6984">
              <w:rPr>
                <w:rFonts w:ascii="Arial" w:eastAsia="Times New Roman" w:hAnsi="Arial" w:cs="Arial"/>
                <w:b/>
                <w:bCs/>
                <w:color w:val="666666"/>
                <w:lang w:eastAsia="fr-FR"/>
              </w:rPr>
              <w:t>facultative</w:t>
            </w:r>
            <w:r w:rsidRPr="004A6984">
              <w:rPr>
                <w:rFonts w:ascii="Arial" w:eastAsia="Times New Roman" w:hAnsi="Arial" w:cs="Arial"/>
                <w:color w:val="666666"/>
                <w:lang w:eastAsia="fr-FR"/>
              </w:rPr>
              <w:t> sur initiative du DG de l’ANAH</w:t>
            </w:r>
          </w:p>
        </w:tc>
        <w:tc>
          <w:tcPr>
            <w:tcW w:w="255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color w:val="666666"/>
                <w:lang w:eastAsia="fr-FR"/>
              </w:rPr>
              <w:t>Consultation </w:t>
            </w:r>
            <w:r w:rsidRPr="004A6984">
              <w:rPr>
                <w:rFonts w:ascii="Arial" w:eastAsia="Times New Roman" w:hAnsi="Arial" w:cs="Arial"/>
                <w:b/>
                <w:bCs/>
                <w:color w:val="666666"/>
                <w:lang w:eastAsia="fr-FR"/>
              </w:rPr>
              <w:t>facultative</w:t>
            </w:r>
            <w:r w:rsidRPr="004A6984">
              <w:rPr>
                <w:rFonts w:ascii="Arial" w:eastAsia="Times New Roman" w:hAnsi="Arial" w:cs="Arial"/>
                <w:color w:val="666666"/>
                <w:lang w:eastAsia="fr-FR"/>
              </w:rPr>
              <w:t> sur initiative du DG de l’ANAH</w:t>
            </w:r>
          </w:p>
        </w:tc>
      </w:tr>
    </w:tbl>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 </w:t>
      </w:r>
    </w:p>
    <w:p w:rsidR="004A6984" w:rsidRPr="004A6984" w:rsidRDefault="004A6984" w:rsidP="004A6984">
      <w:pPr>
        <w:numPr>
          <w:ilvl w:val="0"/>
          <w:numId w:val="2"/>
        </w:numPr>
        <w:shd w:val="clear" w:color="auto" w:fill="F7F7F7"/>
        <w:spacing w:before="100" w:beforeAutospacing="1" w:after="100" w:afterAutospacing="1" w:line="240" w:lineRule="auto"/>
        <w:rPr>
          <w:rFonts w:ascii="Arial" w:eastAsia="Times New Roman" w:hAnsi="Arial" w:cs="Arial"/>
          <w:color w:val="666666"/>
          <w:lang w:eastAsia="fr-FR"/>
        </w:rPr>
      </w:pPr>
      <w:r w:rsidRPr="004A6984">
        <w:rPr>
          <w:rFonts w:ascii="Arial" w:eastAsia="Times New Roman" w:hAnsi="Arial" w:cs="Arial"/>
          <w:color w:val="666666"/>
          <w:u w:val="single"/>
          <w:lang w:eastAsia="fr-FR"/>
        </w:rPr>
        <w:t>L’assouplissement de la condition d’acquisition des immeubles éligibles</w:t>
      </w:r>
    </w:p>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 xml:space="preserve"> Par ailleurs, afin de faciliter la conduite de certains projets de RHI-THIRORI menés par des collectivités territoriales, en particulier dans le cadre des programmes nationaux « Action </w:t>
      </w:r>
      <w:proofErr w:type="spellStart"/>
      <w:r w:rsidRPr="004A6984">
        <w:rPr>
          <w:rFonts w:ascii="Arial" w:eastAsia="Times New Roman" w:hAnsi="Arial" w:cs="Arial"/>
          <w:color w:val="666666"/>
          <w:lang w:eastAsia="fr-FR"/>
        </w:rPr>
        <w:t>Coeur</w:t>
      </w:r>
      <w:proofErr w:type="spellEnd"/>
      <w:r w:rsidRPr="004A6984">
        <w:rPr>
          <w:rFonts w:ascii="Arial" w:eastAsia="Times New Roman" w:hAnsi="Arial" w:cs="Arial"/>
          <w:color w:val="666666"/>
          <w:lang w:eastAsia="fr-FR"/>
        </w:rPr>
        <w:t xml:space="preserve"> de Ville » et « Petites Villes de demain », l’article 50-B du RGA est modifié s’agissant des conditions tenant à la date d’acquisition des immeubles.</w:t>
      </w:r>
    </w:p>
    <w:p w:rsidR="004A6984" w:rsidRPr="004A6984" w:rsidRDefault="004A6984" w:rsidP="004A6984">
      <w:pPr>
        <w:shd w:val="clear" w:color="auto" w:fill="F7F7F7"/>
        <w:spacing w:after="150"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t> </w:t>
      </w:r>
    </w:p>
    <w:p w:rsidR="004A6984" w:rsidRPr="004A6984" w:rsidRDefault="004A6984" w:rsidP="004A6984">
      <w:pPr>
        <w:shd w:val="clear" w:color="auto" w:fill="F7F7F7"/>
        <w:spacing w:after="150"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lastRenderedPageBreak/>
        <w:t>Si le principe de l’éligibilité des immeubles </w:t>
      </w:r>
      <w:r w:rsidRPr="004A6984">
        <w:rPr>
          <w:rFonts w:ascii="Arial" w:eastAsia="Times New Roman" w:hAnsi="Arial" w:cs="Arial"/>
          <w:i/>
          <w:iCs/>
          <w:color w:val="666666"/>
          <w:lang w:eastAsia="fr-FR"/>
        </w:rPr>
        <w:t>«</w:t>
      </w:r>
      <w:r w:rsidRPr="004A6984">
        <w:rPr>
          <w:rFonts w:ascii="Arial" w:eastAsia="Times New Roman" w:hAnsi="Arial" w:cs="Arial"/>
          <w:color w:val="666666"/>
          <w:lang w:eastAsia="fr-FR"/>
        </w:rPr>
        <w:t> </w:t>
      </w:r>
      <w:r w:rsidRPr="004A6984">
        <w:rPr>
          <w:rFonts w:ascii="Arial" w:eastAsia="Times New Roman" w:hAnsi="Arial" w:cs="Arial"/>
          <w:i/>
          <w:iCs/>
          <w:color w:val="666666"/>
          <w:lang w:eastAsia="fr-FR"/>
        </w:rPr>
        <w:t>acquis après la date à laquelle le demandeur est informé que le dossier de demande de financement […] est complet</w:t>
      </w:r>
      <w:r w:rsidRPr="004A6984">
        <w:rPr>
          <w:rFonts w:ascii="Arial" w:eastAsia="Times New Roman" w:hAnsi="Arial" w:cs="Arial"/>
          <w:color w:val="666666"/>
          <w:lang w:eastAsia="fr-FR"/>
        </w:rPr>
        <w:t> </w:t>
      </w:r>
      <w:r w:rsidRPr="004A6984">
        <w:rPr>
          <w:rFonts w:ascii="Arial" w:eastAsia="Times New Roman" w:hAnsi="Arial" w:cs="Arial"/>
          <w:i/>
          <w:iCs/>
          <w:color w:val="666666"/>
          <w:lang w:eastAsia="fr-FR"/>
        </w:rPr>
        <w:t>» </w:t>
      </w:r>
      <w:r w:rsidRPr="004A6984">
        <w:rPr>
          <w:rFonts w:ascii="Arial" w:eastAsia="Times New Roman" w:hAnsi="Arial" w:cs="Arial"/>
          <w:color w:val="666666"/>
          <w:lang w:eastAsia="fr-FR"/>
        </w:rPr>
        <w:t>perdure, le Directeur général de l’Agence peut, à titre exceptionnel, décider de prendre en compte des immeubles acquis depuis moins de 15 ans à compter de cette date, et ce à la double condition que (délibération n°2023-13 du 15 mars 2023 relative au financement des opérations de RHI-THIRORI) :</w:t>
      </w:r>
    </w:p>
    <w:p w:rsidR="004A6984" w:rsidRPr="004A6984" w:rsidRDefault="004A6984" w:rsidP="004A6984">
      <w:pPr>
        <w:numPr>
          <w:ilvl w:val="0"/>
          <w:numId w:val="3"/>
        </w:numPr>
        <w:shd w:val="clear" w:color="auto" w:fill="F7F7F7"/>
        <w:spacing w:before="100" w:beforeAutospacing="1" w:after="100" w:afterAutospacing="1"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t>la collectivité territoriale qui a acquis les immeubles démontre avoir engagé une stratégie d'acquisition de logements indignes depuis plus de dix ans ;</w:t>
      </w:r>
    </w:p>
    <w:p w:rsidR="004A6984" w:rsidRPr="004A6984" w:rsidRDefault="004A6984" w:rsidP="004A6984">
      <w:pPr>
        <w:numPr>
          <w:ilvl w:val="0"/>
          <w:numId w:val="3"/>
        </w:numPr>
        <w:shd w:val="clear" w:color="auto" w:fill="F7F7F7"/>
        <w:spacing w:before="100" w:beforeAutospacing="1" w:after="100" w:afterAutospacing="1"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t>les immeubles se situent dans un périmètre d'intervention inscrit dans un programme national.</w:t>
      </w:r>
    </w:p>
    <w:p w:rsidR="004A6984" w:rsidRPr="004A6984" w:rsidRDefault="004A6984" w:rsidP="004A6984">
      <w:pPr>
        <w:shd w:val="clear" w:color="auto" w:fill="F7F7F7"/>
        <w:spacing w:after="150" w:line="240" w:lineRule="auto"/>
        <w:jc w:val="both"/>
        <w:rPr>
          <w:rFonts w:ascii="Arial" w:eastAsia="Times New Roman" w:hAnsi="Arial" w:cs="Arial"/>
          <w:color w:val="666666"/>
          <w:lang w:eastAsia="fr-FR"/>
        </w:rPr>
      </w:pPr>
      <w:r w:rsidRPr="004A6984">
        <w:rPr>
          <w:rFonts w:ascii="Arial" w:eastAsia="Times New Roman" w:hAnsi="Arial" w:cs="Arial"/>
          <w:color w:val="666666"/>
          <w:lang w:eastAsia="fr-FR"/>
        </w:rPr>
        <w:t>A noter que des facultés de dérogation préexistaient en matière de RHI et de THIRORI permettant de prendre en compte les immeubles acquis depuis moins de 10 ans avant la date d’information de la complétude du dossier.</w:t>
      </w:r>
    </w:p>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color w:val="666666"/>
          <w:u w:val="single"/>
          <w:lang w:eastAsia="fr-FR"/>
        </w:rPr>
        <w:t>Conditions d’éligibilité des immeubles pour les dossiers déposés depuis le 4 juin 2023</w:t>
      </w:r>
    </w:p>
    <w:p w:rsidR="004A6984" w:rsidRPr="004A6984" w:rsidRDefault="004A6984" w:rsidP="004A6984">
      <w:pPr>
        <w:shd w:val="clear" w:color="auto" w:fill="F7F7F7"/>
        <w:spacing w:after="150" w:line="240" w:lineRule="auto"/>
        <w:jc w:val="center"/>
        <w:rPr>
          <w:rFonts w:ascii="Arial" w:eastAsia="Times New Roman" w:hAnsi="Arial" w:cs="Arial"/>
          <w:color w:val="666666"/>
          <w:lang w:eastAsia="fr-FR"/>
        </w:rPr>
      </w:pPr>
    </w:p>
    <w:tbl>
      <w:tblPr>
        <w:tblW w:w="10635" w:type="dxa"/>
        <w:tblInd w:w="-759" w:type="dxa"/>
        <w:tblBorders>
          <w:top w:val="outset" w:sz="6" w:space="0" w:color="auto"/>
          <w:left w:val="outset" w:sz="6" w:space="0" w:color="auto"/>
          <w:bottom w:val="outset" w:sz="6" w:space="0" w:color="auto"/>
          <w:right w:val="outset" w:sz="6" w:space="0" w:color="auto"/>
        </w:tblBorders>
        <w:shd w:val="clear" w:color="auto" w:fill="F7F7F7"/>
        <w:tblCellMar>
          <w:left w:w="0" w:type="dxa"/>
          <w:right w:w="0" w:type="dxa"/>
        </w:tblCellMar>
        <w:tblLook w:val="04A0"/>
      </w:tblPr>
      <w:tblGrid>
        <w:gridCol w:w="1140"/>
        <w:gridCol w:w="2550"/>
        <w:gridCol w:w="3540"/>
        <w:gridCol w:w="3405"/>
      </w:tblGrid>
      <w:tr w:rsidR="004A6984" w:rsidRPr="004A6984" w:rsidTr="004A6984">
        <w:tc>
          <w:tcPr>
            <w:tcW w:w="114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 </w:t>
            </w:r>
          </w:p>
        </w:tc>
        <w:tc>
          <w:tcPr>
            <w:tcW w:w="255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b/>
                <w:bCs/>
                <w:color w:val="666666"/>
                <w:lang w:eastAsia="fr-FR"/>
              </w:rPr>
              <w:t>Principe</w:t>
            </w:r>
          </w:p>
        </w:tc>
        <w:tc>
          <w:tcPr>
            <w:tcW w:w="354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b/>
                <w:bCs/>
                <w:color w:val="666666"/>
                <w:lang w:eastAsia="fr-FR"/>
              </w:rPr>
              <w:t>Dérogation DG</w:t>
            </w:r>
          </w:p>
        </w:tc>
        <w:tc>
          <w:tcPr>
            <w:tcW w:w="3405"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jc w:val="center"/>
              <w:rPr>
                <w:rFonts w:ascii="Arial" w:eastAsia="Times New Roman" w:hAnsi="Arial" w:cs="Arial"/>
                <w:color w:val="666666"/>
                <w:lang w:eastAsia="fr-FR"/>
              </w:rPr>
            </w:pPr>
            <w:r w:rsidRPr="004A6984">
              <w:rPr>
                <w:rFonts w:ascii="Arial" w:eastAsia="Times New Roman" w:hAnsi="Arial" w:cs="Arial"/>
                <w:b/>
                <w:bCs/>
                <w:color w:val="666666"/>
                <w:lang w:eastAsia="fr-FR"/>
              </w:rPr>
              <w:t>Dérogation exceptionnelle DG</w:t>
            </w:r>
          </w:p>
        </w:tc>
      </w:tr>
      <w:tr w:rsidR="004A6984" w:rsidRPr="004A6984" w:rsidTr="004A6984">
        <w:tc>
          <w:tcPr>
            <w:tcW w:w="114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RHI</w:t>
            </w:r>
          </w:p>
        </w:tc>
        <w:tc>
          <w:tcPr>
            <w:tcW w:w="2550" w:type="dxa"/>
            <w:vMerge w:val="restart"/>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Immeubles acquis après la date à laquelle le demandeur est informé que son dossier de demande est complet</w:t>
            </w:r>
          </w:p>
        </w:tc>
        <w:tc>
          <w:tcPr>
            <w:tcW w:w="354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immeubles acquis moins de 10 ans avant la date de notification de la complétude du dossier</w:t>
            </w:r>
          </w:p>
        </w:tc>
        <w:tc>
          <w:tcPr>
            <w:tcW w:w="3405"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immeubles acquis moins de 15 ans avant la date susmentionnée sous conditions.</w:t>
            </w:r>
          </w:p>
        </w:tc>
      </w:tr>
      <w:tr w:rsidR="004A6984" w:rsidRPr="004A6984" w:rsidTr="004A6984">
        <w:tc>
          <w:tcPr>
            <w:tcW w:w="114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THIRORI</w:t>
            </w:r>
          </w:p>
        </w:tc>
        <w:tc>
          <w:tcPr>
            <w:tcW w:w="0" w:type="auto"/>
            <w:vMerge/>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p>
        </w:tc>
        <w:tc>
          <w:tcPr>
            <w:tcW w:w="3540"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immeubles acquis moins de 10 ans avant la date susmentionnée (inéligibles : ceux acquis avant le 27 décembre 2009).</w:t>
            </w:r>
          </w:p>
        </w:tc>
        <w:tc>
          <w:tcPr>
            <w:tcW w:w="3405" w:type="dxa"/>
            <w:tcBorders>
              <w:top w:val="single" w:sz="6" w:space="0" w:color="FFFFFF"/>
              <w:left w:val="single" w:sz="6" w:space="0" w:color="FFFFFF"/>
              <w:bottom w:val="single" w:sz="6" w:space="0" w:color="FFFFFF"/>
              <w:right w:val="single" w:sz="6" w:space="0" w:color="FFFFFF"/>
            </w:tcBorders>
            <w:shd w:val="clear" w:color="auto" w:fill="E8E8E8"/>
            <w:vAlign w:val="center"/>
            <w:hideMark/>
          </w:tcPr>
          <w:p w:rsidR="004A6984" w:rsidRPr="004A6984" w:rsidRDefault="004A6984" w:rsidP="004A6984">
            <w:pPr>
              <w:spacing w:after="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immeubles acquis moins de 15 ans avant la date susmentionnée sous conditions (inéligibles : ceux acquis avant le 27 décembre 2009).</w:t>
            </w:r>
          </w:p>
        </w:tc>
      </w:tr>
    </w:tbl>
    <w:p w:rsidR="004A6984" w:rsidRPr="004A6984" w:rsidRDefault="004A6984" w:rsidP="004A6984">
      <w:pPr>
        <w:shd w:val="clear" w:color="auto" w:fill="F7F7F7"/>
        <w:spacing w:after="150" w:line="240" w:lineRule="auto"/>
        <w:rPr>
          <w:rFonts w:ascii="Arial" w:eastAsia="Times New Roman" w:hAnsi="Arial" w:cs="Arial"/>
          <w:color w:val="666666"/>
          <w:lang w:eastAsia="fr-FR"/>
        </w:rPr>
      </w:pPr>
      <w:r w:rsidRPr="004A6984">
        <w:rPr>
          <w:rFonts w:ascii="Arial" w:eastAsia="Times New Roman" w:hAnsi="Arial" w:cs="Arial"/>
          <w:color w:val="666666"/>
          <w:lang w:eastAsia="fr-FR"/>
        </w:rPr>
        <w:t> </w:t>
      </w:r>
    </w:p>
    <w:p w:rsidR="00FB1240" w:rsidRPr="004A6984" w:rsidRDefault="00FB1240">
      <w:pPr>
        <w:rPr>
          <w:rFonts w:ascii="Arial" w:hAnsi="Arial" w:cs="Arial"/>
        </w:rPr>
      </w:pPr>
    </w:p>
    <w:sectPr w:rsidR="00FB1240" w:rsidRPr="004A6984" w:rsidSect="00FB12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FE"/>
    <w:multiLevelType w:val="multilevel"/>
    <w:tmpl w:val="C3C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25D12"/>
    <w:multiLevelType w:val="multilevel"/>
    <w:tmpl w:val="AA96A8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47C63BE7"/>
    <w:multiLevelType w:val="multilevel"/>
    <w:tmpl w:val="D102B5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1"/>
    <w:lvlOverride w:ilvl="0">
      <w:startOverride w:val="2"/>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984"/>
    <w:rsid w:val="004A6984"/>
    <w:rsid w:val="00FB12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A69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A6984"/>
    <w:rPr>
      <w:b/>
      <w:bCs/>
    </w:rPr>
  </w:style>
  <w:style w:type="character" w:styleId="Accentuation">
    <w:name w:val="Emphasis"/>
    <w:basedOn w:val="Policepardfaut"/>
    <w:uiPriority w:val="20"/>
    <w:qFormat/>
    <w:rsid w:val="004A6984"/>
    <w:rPr>
      <w:i/>
      <w:iCs/>
    </w:rPr>
  </w:style>
</w:styles>
</file>

<file path=word/webSettings.xml><?xml version="1.0" encoding="utf-8"?>
<w:webSettings xmlns:r="http://schemas.openxmlformats.org/officeDocument/2006/relationships" xmlns:w="http://schemas.openxmlformats.org/wordprocessingml/2006/main">
  <w:divs>
    <w:div w:id="13390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3521</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bouche</dc:creator>
  <cp:lastModifiedBy>nancy bouche</cp:lastModifiedBy>
  <cp:revision>1</cp:revision>
  <dcterms:created xsi:type="dcterms:W3CDTF">2023-08-18T10:30:00Z</dcterms:created>
  <dcterms:modified xsi:type="dcterms:W3CDTF">2023-08-18T10:34:00Z</dcterms:modified>
</cp:coreProperties>
</file>