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28A3C" w14:textId="77777777" w:rsidR="00CB1B94" w:rsidRPr="00CB1B94" w:rsidRDefault="00CB1B94" w:rsidP="007D1954">
      <w:pPr>
        <w:spacing w:after="0" w:line="240" w:lineRule="auto"/>
        <w:outlineLvl w:val="0"/>
        <w:rPr>
          <w:rFonts w:eastAsia="Times New Roman"/>
          <w:b/>
          <w:bCs/>
          <w:kern w:val="36"/>
          <w:sz w:val="24"/>
          <w:szCs w:val="24"/>
          <w:lang w:eastAsia="fr-FR"/>
          <w14:ligatures w14:val="none"/>
        </w:rPr>
      </w:pPr>
      <w:r w:rsidRPr="00CB1B94">
        <w:rPr>
          <w:rFonts w:eastAsia="Times New Roman"/>
          <w:b/>
          <w:bCs/>
          <w:kern w:val="36"/>
          <w:sz w:val="24"/>
          <w:szCs w:val="24"/>
          <w:lang w:eastAsia="fr-FR"/>
          <w14:ligatures w14:val="none"/>
        </w:rPr>
        <w:t>Décret n°2002-120 du 30 janvier 2002 relatif aux caractéristiques du logement décent pris pour l'application de l'article 187 de la loi n° 2000-1208 du 13 décembre 2000 relative à la solidarité et au renouvellement urbains.</w:t>
      </w:r>
    </w:p>
    <w:p w14:paraId="6FA41396" w14:textId="77777777" w:rsidR="007D1954" w:rsidRDefault="007D1954" w:rsidP="007D1954">
      <w:pPr>
        <w:spacing w:after="0" w:line="240" w:lineRule="auto"/>
        <w:rPr>
          <w:rFonts w:eastAsia="Times New Roman"/>
          <w:kern w:val="0"/>
          <w:sz w:val="24"/>
          <w:szCs w:val="24"/>
          <w:lang w:eastAsia="fr-FR"/>
          <w14:ligatures w14:val="none"/>
        </w:rPr>
      </w:pPr>
    </w:p>
    <w:p w14:paraId="558878C3" w14:textId="3FE5D834" w:rsidR="00CB1B94" w:rsidRPr="00CB1B94" w:rsidRDefault="00CB1B94" w:rsidP="007D1954">
      <w:pPr>
        <w:spacing w:after="0" w:line="240" w:lineRule="auto"/>
        <w:rPr>
          <w:rFonts w:eastAsia="Times New Roman"/>
          <w:i/>
          <w:iCs/>
          <w:kern w:val="0"/>
          <w:sz w:val="24"/>
          <w:szCs w:val="24"/>
          <w:lang w:eastAsia="fr-FR"/>
          <w14:ligatures w14:val="none"/>
        </w:rPr>
      </w:pPr>
      <w:r w:rsidRPr="00CB1B94">
        <w:rPr>
          <w:rFonts w:eastAsia="Times New Roman"/>
          <w:i/>
          <w:iCs/>
          <w:kern w:val="0"/>
          <w:sz w:val="24"/>
          <w:szCs w:val="24"/>
          <w:lang w:eastAsia="fr-FR"/>
          <w14:ligatures w14:val="none"/>
        </w:rPr>
        <w:t>Dernière mise à jour des données de ce texte : 01 janvier 2025</w:t>
      </w:r>
      <w:r w:rsidRPr="007D1954">
        <w:rPr>
          <w:rFonts w:eastAsia="Times New Roman"/>
          <w:i/>
          <w:iCs/>
          <w:kern w:val="0"/>
          <w:sz w:val="24"/>
          <w:szCs w:val="24"/>
          <w:lang w:eastAsia="fr-FR"/>
          <w14:ligatures w14:val="none"/>
        </w:rPr>
        <w:t xml:space="preserve"> /</w:t>
      </w:r>
      <w:r w:rsidRPr="00CB1B94">
        <w:rPr>
          <w:rFonts w:eastAsia="Times New Roman"/>
          <w:i/>
          <w:iCs/>
          <w:kern w:val="0"/>
          <w:sz w:val="24"/>
          <w:szCs w:val="24"/>
          <w:lang w:eastAsia="fr-FR"/>
          <w14:ligatures w14:val="none"/>
        </w:rPr>
        <w:t>Version en vigueur au 01 avril 2026</w:t>
      </w:r>
    </w:p>
    <w:p w14:paraId="04DD7BDF" w14:textId="77777777" w:rsidR="007D1954" w:rsidRDefault="007D1954" w:rsidP="007D1954">
      <w:pPr>
        <w:spacing w:after="0" w:line="240" w:lineRule="auto"/>
        <w:rPr>
          <w:rFonts w:eastAsia="Times New Roman"/>
          <w:kern w:val="0"/>
          <w:sz w:val="24"/>
          <w:szCs w:val="24"/>
          <w:lang w:eastAsia="fr-FR"/>
          <w14:ligatures w14:val="none"/>
        </w:rPr>
      </w:pPr>
    </w:p>
    <w:p w14:paraId="6F8DA13C" w14:textId="2AFB46F2"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Le Premier ministre,</w:t>
      </w:r>
    </w:p>
    <w:p w14:paraId="13F5827C" w14:textId="77777777" w:rsidR="00CB1B94" w:rsidRDefault="00CB1B94" w:rsidP="007D1954">
      <w:pPr>
        <w:spacing w:after="0" w:line="240" w:lineRule="auto"/>
        <w:rPr>
          <w:rFonts w:eastAsia="Times New Roman"/>
          <w:kern w:val="0"/>
          <w:sz w:val="24"/>
          <w:szCs w:val="24"/>
          <w:lang w:eastAsia="fr-FR"/>
          <w14:ligatures w14:val="none"/>
        </w:rPr>
      </w:pPr>
    </w:p>
    <w:p w14:paraId="276F772E" w14:textId="79E65270"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Sur le rapport du ministre de l'équipement, des transports et du logement,</w:t>
      </w:r>
    </w:p>
    <w:p w14:paraId="04F69FD7" w14:textId="77777777" w:rsidR="00CB1B94" w:rsidRDefault="00CB1B94" w:rsidP="007D1954">
      <w:pPr>
        <w:spacing w:after="0" w:line="240" w:lineRule="auto"/>
        <w:rPr>
          <w:rFonts w:eastAsia="Times New Roman"/>
          <w:kern w:val="0"/>
          <w:sz w:val="24"/>
          <w:szCs w:val="24"/>
          <w:lang w:eastAsia="fr-FR"/>
          <w14:ligatures w14:val="none"/>
        </w:rPr>
      </w:pPr>
    </w:p>
    <w:p w14:paraId="7A3BE744" w14:textId="4C9B82D2"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Vu le code civil ;</w:t>
      </w:r>
    </w:p>
    <w:p w14:paraId="67240773" w14:textId="77777777"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Vu le code de la construction et de l'habitation, notamment ses articles R. 111-1 et R. 111-2 ;</w:t>
      </w:r>
    </w:p>
    <w:p w14:paraId="6C3EA868" w14:textId="77777777"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Vu la loi n° 67-561 du 12 juillet 1967 relative à l'amélioration de l'habitat ;</w:t>
      </w:r>
    </w:p>
    <w:p w14:paraId="3ACF919F" w14:textId="77777777"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Vu la loi n° 89-462 du 6 juillet 1989 tendant à améliorer les rapports locatifs et portant modification de la loi n° 86-1290 du 23 décembre 1986, notamment ses articles 2 et 6 dans leur rédaction issue de l'article 187 de la loi n° 2000-1208 du 13 décembre 2000 relative à la solidarité et au renouvellement urbains ;</w:t>
      </w:r>
    </w:p>
    <w:p w14:paraId="481253B5" w14:textId="77777777"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Vu le décret n° 68-976 du 9 novembre 1968 fixant les conditions d'application de la loi n° 67-561 du 12 juillet 1967 relative à l'amélioration de l'habitat ;</w:t>
      </w:r>
    </w:p>
    <w:p w14:paraId="02222385" w14:textId="77777777"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Vu l'avis du Conseil national de l'habitat en date du 10 mai 2001 ;</w:t>
      </w:r>
    </w:p>
    <w:p w14:paraId="72B953D8" w14:textId="77777777"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Vu les avis du conseil régional de la Guadeloupe en date du 31 août 2001, du conseil général de la Guadeloupe en date du 13 septembre 2001 et du conseil général de la Réunion en date du 3 octobre 2001 ;</w:t>
      </w:r>
    </w:p>
    <w:p w14:paraId="4AD27DF5" w14:textId="77777777"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Vu les lettres de saisine pour avis du conseil régional de Guyane, du conseil régional de Martinique et du conseil régional de la Réunion en date respectivement des 9 août, 10 août et 10 août 2001 ;</w:t>
      </w:r>
    </w:p>
    <w:p w14:paraId="0836ED8F" w14:textId="77777777"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Vu les lettres de saisine pour avis du conseil général de Guyane et du conseil général de Martinique en date respectivement des 9 août et 10 août 2001 ;</w:t>
      </w:r>
    </w:p>
    <w:p w14:paraId="42627F1B" w14:textId="77777777" w:rsidR="007D1954" w:rsidRDefault="007D1954" w:rsidP="007D1954">
      <w:pPr>
        <w:spacing w:after="0" w:line="240" w:lineRule="auto"/>
        <w:rPr>
          <w:rFonts w:eastAsia="Times New Roman"/>
          <w:kern w:val="0"/>
          <w:sz w:val="24"/>
          <w:szCs w:val="24"/>
          <w:lang w:eastAsia="fr-FR"/>
          <w14:ligatures w14:val="none"/>
        </w:rPr>
      </w:pPr>
    </w:p>
    <w:p w14:paraId="3E443A5A" w14:textId="1F23FB0A"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Le Conseil d'Etat (section des travaux publics) entendu,</w:t>
      </w:r>
    </w:p>
    <w:p w14:paraId="0AD8548C" w14:textId="77777777" w:rsidR="007D1954" w:rsidRDefault="007D1954" w:rsidP="007D1954">
      <w:pPr>
        <w:spacing w:after="0" w:line="240" w:lineRule="auto"/>
        <w:rPr>
          <w:rFonts w:eastAsia="Times New Roman"/>
          <w:kern w:val="0"/>
          <w:sz w:val="24"/>
          <w:szCs w:val="24"/>
          <w:lang w:eastAsia="fr-FR"/>
          <w14:ligatures w14:val="none"/>
        </w:rPr>
      </w:pPr>
    </w:p>
    <w:p w14:paraId="5A7F5966" w14:textId="57B30BCB" w:rsidR="00CB1B94" w:rsidRPr="00CB1B94" w:rsidRDefault="00CB1B94" w:rsidP="007D1954">
      <w:pPr>
        <w:spacing w:after="0" w:line="240" w:lineRule="auto"/>
        <w:rPr>
          <w:rFonts w:eastAsia="Times New Roman"/>
          <w:kern w:val="0"/>
          <w:sz w:val="24"/>
          <w:szCs w:val="24"/>
          <w:lang w:eastAsia="fr-FR"/>
          <w14:ligatures w14:val="none"/>
        </w:rPr>
      </w:pPr>
      <w:hyperlink r:id="rId5" w:history="1">
        <w:r w:rsidRPr="00CB1B94">
          <w:rPr>
            <w:rFonts w:eastAsia="Times New Roman"/>
            <w:color w:val="0000FF"/>
            <w:kern w:val="0"/>
            <w:sz w:val="24"/>
            <w:szCs w:val="24"/>
            <w:u w:val="single"/>
            <w:lang w:eastAsia="fr-FR"/>
            <w14:ligatures w14:val="none"/>
          </w:rPr>
          <w:t>Article 1</w:t>
        </w:r>
      </w:hyperlink>
    </w:p>
    <w:p w14:paraId="700FD8C1" w14:textId="77777777" w:rsidR="007D1954" w:rsidRDefault="007D1954" w:rsidP="007D1954">
      <w:pPr>
        <w:spacing w:after="0" w:line="240" w:lineRule="auto"/>
        <w:rPr>
          <w:rFonts w:eastAsia="Times New Roman"/>
          <w:kern w:val="0"/>
          <w:sz w:val="24"/>
          <w:szCs w:val="24"/>
          <w:lang w:eastAsia="fr-FR"/>
          <w14:ligatures w14:val="none"/>
        </w:rPr>
      </w:pPr>
    </w:p>
    <w:p w14:paraId="62957B90" w14:textId="501C7DB8"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Un logement décent est un logement qui répond aux caractéristiques définies par le présent décret.</w:t>
      </w:r>
    </w:p>
    <w:p w14:paraId="5EC53F5B" w14:textId="77777777" w:rsidR="007D1954" w:rsidRDefault="007D1954" w:rsidP="007D1954">
      <w:pPr>
        <w:spacing w:after="0" w:line="240" w:lineRule="auto"/>
        <w:rPr>
          <w:rFonts w:eastAsia="Times New Roman"/>
          <w:kern w:val="0"/>
          <w:sz w:val="24"/>
          <w:szCs w:val="24"/>
          <w:lang w:eastAsia="fr-FR"/>
          <w14:ligatures w14:val="none"/>
        </w:rPr>
      </w:pPr>
    </w:p>
    <w:p w14:paraId="381DD502" w14:textId="2830449F" w:rsidR="00CB1B94" w:rsidRPr="00CB1B94" w:rsidRDefault="00CB1B94" w:rsidP="007D1954">
      <w:pPr>
        <w:spacing w:after="0" w:line="240" w:lineRule="auto"/>
        <w:rPr>
          <w:rFonts w:eastAsia="Times New Roman"/>
          <w:kern w:val="0"/>
          <w:sz w:val="24"/>
          <w:szCs w:val="24"/>
          <w:lang w:eastAsia="fr-FR"/>
          <w14:ligatures w14:val="none"/>
        </w:rPr>
      </w:pPr>
      <w:hyperlink r:id="rId6" w:history="1">
        <w:r w:rsidRPr="00CB1B94">
          <w:rPr>
            <w:rFonts w:eastAsia="Times New Roman"/>
            <w:color w:val="0000FF"/>
            <w:kern w:val="0"/>
            <w:sz w:val="24"/>
            <w:szCs w:val="24"/>
            <w:u w:val="single"/>
            <w:lang w:eastAsia="fr-FR"/>
            <w14:ligatures w14:val="none"/>
          </w:rPr>
          <w:t>Article 2</w:t>
        </w:r>
      </w:hyperlink>
      <w:r>
        <w:rPr>
          <w:rFonts w:eastAsia="Times New Roman"/>
          <w:kern w:val="0"/>
          <w:sz w:val="24"/>
          <w:szCs w:val="24"/>
          <w:lang w:eastAsia="fr-FR"/>
          <w14:ligatures w14:val="none"/>
        </w:rPr>
        <w:t xml:space="preserve"> / </w:t>
      </w:r>
      <w:hyperlink r:id="rId7" w:history="1">
        <w:r w:rsidRPr="00CB1B94">
          <w:rPr>
            <w:rFonts w:eastAsia="Times New Roman"/>
            <w:color w:val="0000FF"/>
            <w:kern w:val="0"/>
            <w:sz w:val="24"/>
            <w:szCs w:val="24"/>
            <w:u w:val="single"/>
            <w:lang w:eastAsia="fr-FR"/>
            <w14:ligatures w14:val="none"/>
          </w:rPr>
          <w:t>Modifié par Décret n°2023-796 du 18 août 2023 - art. 4</w:t>
        </w:r>
        <w:r w:rsidRPr="00CB1B94">
          <w:rPr>
            <w:rFonts w:eastAsia="Times New Roman"/>
            <w:color w:val="0000FF"/>
            <w:kern w:val="0"/>
            <w:sz w:val="24"/>
            <w:szCs w:val="24"/>
            <w:u w:val="single"/>
            <w:lang w:eastAsia="fr-FR"/>
            <w14:ligatures w14:val="none"/>
          </w:rPr>
          <w:br/>
        </w:r>
      </w:hyperlink>
    </w:p>
    <w:p w14:paraId="6B818CBC" w14:textId="77777777"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Le logement doit satisfaire aux conditions suivantes, au regard de la sécurité physique et de la santé des locataires :</w:t>
      </w:r>
    </w:p>
    <w:p w14:paraId="6400EE6C" w14:textId="77777777"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1. Il assure le clos et le couvert. Le gros œuvre du logement et de ses accès est en bon état d'entretien et de solidité et protège les locaux contre les eaux de ruissellement et les remontées d'eau. Les menuiseries extérieures et la couverture avec ses raccords et accessoires assurent la protection contre les infiltrations d'eau dans l'habitation. Pour les logements situés en Guadeloupe, en Guyane, en Martinique, à La Réunion et à Mayotte, il peut être tenu compte, pour l'appréciation des conditions relatives à la protection contre les infiltrations d'eau, des conditions climatiques spécifiques à ces collectivités ;</w:t>
      </w:r>
    </w:p>
    <w:p w14:paraId="12C79541" w14:textId="77777777" w:rsid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lastRenderedPageBreak/>
        <w:t>2. Il est protégé contre les infiltrations d'air parasites. Les portes et fenêtres du logement ainsi que les murs et parois de ce logement donnant sur l'extérieur ou des locaux non chauffés présentent une étanchéité à l'air suffisante. Les ouvertures des pièces donnant sur des locaux annexes non chauffés sont munies de portes ou de fenêtres. Les cheminées doivent être munies de trappes. Ces dispositions ne sont pas applicables en Guadeloupe, en Guyane, en Martinique, à La Réunion et à Mayotte ;</w:t>
      </w:r>
    </w:p>
    <w:p w14:paraId="2FDBB40A" w14:textId="77777777" w:rsidR="007D1954" w:rsidRPr="00CB1B94" w:rsidRDefault="007D1954" w:rsidP="007D1954">
      <w:pPr>
        <w:spacing w:after="0" w:line="240" w:lineRule="auto"/>
        <w:rPr>
          <w:rFonts w:eastAsia="Times New Roman"/>
          <w:kern w:val="0"/>
          <w:sz w:val="24"/>
          <w:szCs w:val="24"/>
          <w:lang w:eastAsia="fr-FR"/>
          <w14:ligatures w14:val="none"/>
        </w:rPr>
      </w:pPr>
    </w:p>
    <w:p w14:paraId="0DB5A74C" w14:textId="77777777" w:rsid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3. Les dispositifs de retenue des personnes, dans le logement et ses accès, tels que garde-corps des fenêtres, escaliers, loggias et balcons, sont dans un état conforme à leur usage ;</w:t>
      </w:r>
    </w:p>
    <w:p w14:paraId="21185D5A" w14:textId="77777777" w:rsidR="007D1954" w:rsidRPr="00CB1B94" w:rsidRDefault="007D1954" w:rsidP="007D1954">
      <w:pPr>
        <w:spacing w:after="0" w:line="240" w:lineRule="auto"/>
        <w:rPr>
          <w:rFonts w:eastAsia="Times New Roman"/>
          <w:kern w:val="0"/>
          <w:sz w:val="24"/>
          <w:szCs w:val="24"/>
          <w:lang w:eastAsia="fr-FR"/>
          <w14:ligatures w14:val="none"/>
        </w:rPr>
      </w:pPr>
    </w:p>
    <w:p w14:paraId="0CDFC96E" w14:textId="77777777" w:rsid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4. La nature et l'état de conservation et d'entretien des matériaux de construction, des canalisations et des revêtements du logement ne présentent pas de risques manifestes pour la santé et la sécurité physique des locataires ;</w:t>
      </w:r>
    </w:p>
    <w:p w14:paraId="337533AA" w14:textId="77777777" w:rsidR="007D1954" w:rsidRPr="00CB1B94" w:rsidRDefault="007D1954" w:rsidP="007D1954">
      <w:pPr>
        <w:spacing w:after="0" w:line="240" w:lineRule="auto"/>
        <w:rPr>
          <w:rFonts w:eastAsia="Times New Roman"/>
          <w:kern w:val="0"/>
          <w:sz w:val="24"/>
          <w:szCs w:val="24"/>
          <w:lang w:eastAsia="fr-FR"/>
          <w14:ligatures w14:val="none"/>
        </w:rPr>
      </w:pPr>
    </w:p>
    <w:p w14:paraId="003F4AFF" w14:textId="77777777" w:rsid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5. Les réseaux et branchements d'électricité et de gaz et les équipements de chauffage et de production d'eau chaude sont conformes aux normes de sécurité définies par les lois et règlements et sont en bon état d'usage et de fonctionnement ;</w:t>
      </w:r>
    </w:p>
    <w:p w14:paraId="223C1AB2" w14:textId="77777777" w:rsidR="007D1954" w:rsidRPr="00CB1B94" w:rsidRDefault="007D1954" w:rsidP="007D1954">
      <w:pPr>
        <w:spacing w:after="0" w:line="240" w:lineRule="auto"/>
        <w:rPr>
          <w:rFonts w:eastAsia="Times New Roman"/>
          <w:kern w:val="0"/>
          <w:sz w:val="24"/>
          <w:szCs w:val="24"/>
          <w:lang w:eastAsia="fr-FR"/>
          <w14:ligatures w14:val="none"/>
        </w:rPr>
      </w:pPr>
    </w:p>
    <w:p w14:paraId="172CB76F" w14:textId="77777777" w:rsid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6. Le logement permet une aération suffisante. Les dispositifs d'ouverture et les éventuels dispositifs de ventilation des logements sont en bon état et permettent un renouvellement de l'air et une évacuation de l'humidité adaptés aux besoins d'une occupation normale du logement et au fonctionnement des équipements ;</w:t>
      </w:r>
    </w:p>
    <w:p w14:paraId="7BC829C8" w14:textId="77777777" w:rsidR="007D1954" w:rsidRPr="00CB1B94" w:rsidRDefault="007D1954" w:rsidP="007D1954">
      <w:pPr>
        <w:spacing w:after="0" w:line="240" w:lineRule="auto"/>
        <w:rPr>
          <w:rFonts w:eastAsia="Times New Roman"/>
          <w:kern w:val="0"/>
          <w:sz w:val="24"/>
          <w:szCs w:val="24"/>
          <w:lang w:eastAsia="fr-FR"/>
          <w14:ligatures w14:val="none"/>
        </w:rPr>
      </w:pPr>
    </w:p>
    <w:p w14:paraId="2985E9E7" w14:textId="77777777" w:rsid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7. Les pièces principales, au sens du troisième alinéa de l'article R. 111-1 du code de la construction et de l'habitation, bénéficient d'un éclairement naturel suffisant et d'un ouvrant donnant à l'air libre ou sur un volume vitré donnant à l'air libre.</w:t>
      </w:r>
    </w:p>
    <w:p w14:paraId="69F57C6C" w14:textId="77777777" w:rsidR="007D1954" w:rsidRPr="00CB1B94" w:rsidRDefault="007D1954" w:rsidP="007D1954">
      <w:pPr>
        <w:spacing w:after="0" w:line="240" w:lineRule="auto"/>
        <w:rPr>
          <w:rFonts w:eastAsia="Times New Roman"/>
          <w:kern w:val="0"/>
          <w:sz w:val="24"/>
          <w:szCs w:val="24"/>
          <w:lang w:eastAsia="fr-FR"/>
          <w14:ligatures w14:val="none"/>
        </w:rPr>
      </w:pPr>
    </w:p>
    <w:p w14:paraId="4FFCF408" w14:textId="288F90CB" w:rsidR="00CB1B94" w:rsidRPr="00CB1B94" w:rsidRDefault="00CB1B94" w:rsidP="007D1954">
      <w:pPr>
        <w:spacing w:after="0" w:line="240" w:lineRule="auto"/>
        <w:rPr>
          <w:rFonts w:eastAsia="Times New Roman"/>
          <w:kern w:val="0"/>
          <w:sz w:val="24"/>
          <w:szCs w:val="24"/>
          <w:lang w:eastAsia="fr-FR"/>
          <w14:ligatures w14:val="none"/>
        </w:rPr>
      </w:pPr>
      <w:hyperlink r:id="rId8" w:history="1">
        <w:r w:rsidRPr="00CB1B94">
          <w:rPr>
            <w:rFonts w:eastAsia="Times New Roman"/>
            <w:color w:val="0000FF"/>
            <w:kern w:val="0"/>
            <w:sz w:val="24"/>
            <w:szCs w:val="24"/>
            <w:u w:val="single"/>
            <w:lang w:eastAsia="fr-FR"/>
            <w14:ligatures w14:val="none"/>
          </w:rPr>
          <w:t>Article 3</w:t>
        </w:r>
      </w:hyperlink>
      <w:r>
        <w:rPr>
          <w:rFonts w:eastAsia="Times New Roman"/>
          <w:kern w:val="0"/>
          <w:sz w:val="24"/>
          <w:szCs w:val="24"/>
          <w:lang w:eastAsia="fr-FR"/>
          <w14:ligatures w14:val="none"/>
        </w:rPr>
        <w:t xml:space="preserve"> / </w:t>
      </w:r>
      <w:hyperlink r:id="rId9" w:history="1">
        <w:r w:rsidRPr="00CB1B94">
          <w:rPr>
            <w:rFonts w:eastAsia="Times New Roman"/>
            <w:color w:val="0000FF"/>
            <w:kern w:val="0"/>
            <w:sz w:val="24"/>
            <w:szCs w:val="24"/>
            <w:u w:val="single"/>
            <w:lang w:eastAsia="fr-FR"/>
            <w14:ligatures w14:val="none"/>
          </w:rPr>
          <w:t>Modifié par Décret n°2023-796 du 18 août 2023 - art. 4</w:t>
        </w:r>
        <w:r w:rsidRPr="00CB1B94">
          <w:rPr>
            <w:rFonts w:eastAsia="Times New Roman"/>
            <w:color w:val="0000FF"/>
            <w:kern w:val="0"/>
            <w:sz w:val="24"/>
            <w:szCs w:val="24"/>
            <w:u w:val="single"/>
            <w:lang w:eastAsia="fr-FR"/>
            <w14:ligatures w14:val="none"/>
          </w:rPr>
          <w:br/>
        </w:r>
      </w:hyperlink>
    </w:p>
    <w:p w14:paraId="362AC307" w14:textId="77777777" w:rsid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Le logement comporte les éléments d'équipement et de confort suivants :</w:t>
      </w:r>
    </w:p>
    <w:p w14:paraId="3A38BDAA" w14:textId="77777777" w:rsidR="007D1954" w:rsidRPr="00CB1B94" w:rsidRDefault="007D1954" w:rsidP="007D1954">
      <w:pPr>
        <w:spacing w:after="0" w:line="240" w:lineRule="auto"/>
        <w:rPr>
          <w:rFonts w:eastAsia="Times New Roman"/>
          <w:kern w:val="0"/>
          <w:sz w:val="24"/>
          <w:szCs w:val="24"/>
          <w:lang w:eastAsia="fr-FR"/>
          <w14:ligatures w14:val="none"/>
        </w:rPr>
      </w:pPr>
    </w:p>
    <w:p w14:paraId="2188C181" w14:textId="77777777" w:rsid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1. Une installation permettant un chauffage normal, munie des dispositifs d'alimentation en énergie et d'évacuation des produits de combustion et adaptée aux caractéristiques du logement. Pour les logements situés en Guadeloupe, en Guyane, en Martinique, à La Réunion et à Mayotte, il peut ne pas être fait application de ces dispositions lorsque les conditions climatiques le justifient ;</w:t>
      </w:r>
    </w:p>
    <w:p w14:paraId="449FB4F4" w14:textId="77777777" w:rsidR="007D1954" w:rsidRPr="00CB1B94" w:rsidRDefault="007D1954" w:rsidP="007D1954">
      <w:pPr>
        <w:spacing w:after="0" w:line="240" w:lineRule="auto"/>
        <w:rPr>
          <w:rFonts w:eastAsia="Times New Roman"/>
          <w:kern w:val="0"/>
          <w:sz w:val="24"/>
          <w:szCs w:val="24"/>
          <w:lang w:eastAsia="fr-FR"/>
          <w14:ligatures w14:val="none"/>
        </w:rPr>
      </w:pPr>
    </w:p>
    <w:p w14:paraId="1674432A" w14:textId="77777777" w:rsid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 xml:space="preserve">2. Une installation d'alimentation en eau potable assurant à l'intérieur du logement la distribution avec une pression et </w:t>
      </w:r>
      <w:proofErr w:type="gramStart"/>
      <w:r w:rsidRPr="00CB1B94">
        <w:rPr>
          <w:rFonts w:eastAsia="Times New Roman"/>
          <w:kern w:val="0"/>
          <w:sz w:val="24"/>
          <w:szCs w:val="24"/>
          <w:lang w:eastAsia="fr-FR"/>
          <w14:ligatures w14:val="none"/>
        </w:rPr>
        <w:t>un débit suffisants</w:t>
      </w:r>
      <w:proofErr w:type="gramEnd"/>
      <w:r w:rsidRPr="00CB1B94">
        <w:rPr>
          <w:rFonts w:eastAsia="Times New Roman"/>
          <w:kern w:val="0"/>
          <w:sz w:val="24"/>
          <w:szCs w:val="24"/>
          <w:lang w:eastAsia="fr-FR"/>
          <w14:ligatures w14:val="none"/>
        </w:rPr>
        <w:t xml:space="preserve"> pour l'utilisation normale de ses locataires ;</w:t>
      </w:r>
    </w:p>
    <w:p w14:paraId="7B018603" w14:textId="77777777" w:rsidR="007D1954" w:rsidRPr="00CB1B94" w:rsidRDefault="007D1954" w:rsidP="007D1954">
      <w:pPr>
        <w:spacing w:after="0" w:line="240" w:lineRule="auto"/>
        <w:rPr>
          <w:rFonts w:eastAsia="Times New Roman"/>
          <w:kern w:val="0"/>
          <w:sz w:val="24"/>
          <w:szCs w:val="24"/>
          <w:lang w:eastAsia="fr-FR"/>
          <w14:ligatures w14:val="none"/>
        </w:rPr>
      </w:pPr>
    </w:p>
    <w:p w14:paraId="054158CF" w14:textId="77777777" w:rsid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3. Des installations d'évacuation des eaux ménagères et des eaux-vannes empêchant le refoulement des odeurs et des effluents et munies de siphon ;</w:t>
      </w:r>
    </w:p>
    <w:p w14:paraId="199DA97B" w14:textId="77777777" w:rsidR="007D1954" w:rsidRPr="00CB1B94" w:rsidRDefault="007D1954" w:rsidP="007D1954">
      <w:pPr>
        <w:spacing w:after="0" w:line="240" w:lineRule="auto"/>
        <w:rPr>
          <w:rFonts w:eastAsia="Times New Roman"/>
          <w:kern w:val="0"/>
          <w:sz w:val="24"/>
          <w:szCs w:val="24"/>
          <w:lang w:eastAsia="fr-FR"/>
          <w14:ligatures w14:val="none"/>
        </w:rPr>
      </w:pPr>
    </w:p>
    <w:p w14:paraId="36F8B9AB" w14:textId="77777777"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4. Une cuisine ou un coin cuisine aménagé de manière à recevoir un appareil de cuisson et comprenant un évier raccordé à une installation d'alimentation en eau chaude et froide et à une installation d'évacuation des eaux usées ;</w:t>
      </w:r>
    </w:p>
    <w:p w14:paraId="7EF79EFF" w14:textId="77777777" w:rsid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lastRenderedPageBreak/>
        <w:t>5. Une installation sanitaire intérieure au logement comprenant un w.-c., séparé de la cuisine et de la pièce où sont pris les repas, et un équipement pour la toilette corporelle, comportant une baignoire ou une douche, aménagé de manière à garantir l'intimité personnelle, alimenté en eau chaude et froide et muni d'une évacuation des eaux usées. L'installation sanitaire d'un logement d'une seule pièce peut être limitée à un w.-c. extérieur au logement à condition que ce w.-c. soit situé dans le même bâtiment et facilement accessible ;</w:t>
      </w:r>
    </w:p>
    <w:p w14:paraId="31CB75BA" w14:textId="77777777" w:rsidR="007D1954" w:rsidRPr="00CB1B94" w:rsidRDefault="007D1954" w:rsidP="007D1954">
      <w:pPr>
        <w:spacing w:after="0" w:line="240" w:lineRule="auto"/>
        <w:rPr>
          <w:rFonts w:eastAsia="Times New Roman"/>
          <w:kern w:val="0"/>
          <w:sz w:val="24"/>
          <w:szCs w:val="24"/>
          <w:lang w:eastAsia="fr-FR"/>
          <w14:ligatures w14:val="none"/>
        </w:rPr>
      </w:pPr>
    </w:p>
    <w:p w14:paraId="7C9BA095" w14:textId="77777777"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6. Un réseau électrique permettant l'éclairage suffisant de toutes les pièces et des accès ainsi que le fonctionnement des appareils ménagers courants indispensables à la vie quotidienne.</w:t>
      </w:r>
    </w:p>
    <w:p w14:paraId="796C6F62" w14:textId="77777777" w:rsid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Dans les logements situés en Guadeloupe, en Guyane, en Martinique, à La Réunion et à Mayotte, les dispositions relatives à l'alimentation en eau chaude prévues aux 4 et 5 ci-dessus ne sont pas applicables.</w:t>
      </w:r>
    </w:p>
    <w:p w14:paraId="1B081C24" w14:textId="77777777" w:rsidR="007D1954" w:rsidRPr="00CB1B94" w:rsidRDefault="007D1954" w:rsidP="007D1954">
      <w:pPr>
        <w:spacing w:after="0" w:line="240" w:lineRule="auto"/>
        <w:rPr>
          <w:rFonts w:eastAsia="Times New Roman"/>
          <w:kern w:val="0"/>
          <w:sz w:val="24"/>
          <w:szCs w:val="24"/>
          <w:lang w:eastAsia="fr-FR"/>
          <w14:ligatures w14:val="none"/>
        </w:rPr>
      </w:pPr>
    </w:p>
    <w:p w14:paraId="62D985A3" w14:textId="1A555EFD" w:rsidR="00CB1B94" w:rsidRPr="00CB1B94" w:rsidRDefault="00CB1B94" w:rsidP="007D1954">
      <w:pPr>
        <w:spacing w:after="0" w:line="240" w:lineRule="auto"/>
        <w:rPr>
          <w:rFonts w:eastAsia="Times New Roman"/>
          <w:kern w:val="0"/>
          <w:sz w:val="24"/>
          <w:szCs w:val="24"/>
          <w:lang w:eastAsia="fr-FR"/>
          <w14:ligatures w14:val="none"/>
        </w:rPr>
      </w:pPr>
      <w:hyperlink r:id="rId10" w:history="1">
        <w:r w:rsidRPr="00CB1B94">
          <w:rPr>
            <w:rFonts w:eastAsia="Times New Roman"/>
            <w:color w:val="0000FF"/>
            <w:kern w:val="0"/>
            <w:sz w:val="24"/>
            <w:szCs w:val="24"/>
            <w:u w:val="single"/>
            <w:lang w:eastAsia="fr-FR"/>
            <w14:ligatures w14:val="none"/>
          </w:rPr>
          <w:t>Article 3 bis</w:t>
        </w:r>
      </w:hyperlink>
      <w:r>
        <w:rPr>
          <w:rFonts w:eastAsia="Times New Roman"/>
          <w:kern w:val="0"/>
          <w:sz w:val="24"/>
          <w:szCs w:val="24"/>
          <w:lang w:eastAsia="fr-FR"/>
          <w14:ligatures w14:val="none"/>
        </w:rPr>
        <w:t xml:space="preserve"> / </w:t>
      </w:r>
      <w:hyperlink r:id="rId11" w:history="1">
        <w:r w:rsidRPr="00CB1B94">
          <w:rPr>
            <w:rFonts w:eastAsia="Times New Roman"/>
            <w:color w:val="0000FF"/>
            <w:kern w:val="0"/>
            <w:sz w:val="24"/>
            <w:szCs w:val="24"/>
            <w:u w:val="single"/>
            <w:lang w:eastAsia="fr-FR"/>
            <w14:ligatures w14:val="none"/>
          </w:rPr>
          <w:t>Modifié par Décret n°2023-796 du 18 août 2023 - art. 2 (V)</w:t>
        </w:r>
        <w:r w:rsidRPr="00CB1B94">
          <w:rPr>
            <w:rFonts w:eastAsia="Times New Roman"/>
            <w:color w:val="0000FF"/>
            <w:kern w:val="0"/>
            <w:sz w:val="24"/>
            <w:szCs w:val="24"/>
            <w:u w:val="single"/>
            <w:lang w:eastAsia="fr-FR"/>
            <w14:ligatures w14:val="none"/>
          </w:rPr>
          <w:br/>
        </w:r>
      </w:hyperlink>
    </w:p>
    <w:p w14:paraId="4DE8AED5" w14:textId="5829DC56"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I.-En France métropolitaine, le niveau de performance minimal prévu au premier alinéa de l'</w:t>
      </w:r>
      <w:hyperlink r:id="rId12" w:tooltip="Loi n° 89-462 du 6 juillet 1989 - art. 6 (VT)" w:history="1">
        <w:r w:rsidRPr="00CB1B94">
          <w:rPr>
            <w:rFonts w:eastAsia="Times New Roman"/>
            <w:color w:val="0000FF"/>
            <w:kern w:val="0"/>
            <w:sz w:val="24"/>
            <w:szCs w:val="24"/>
            <w:u w:val="single"/>
            <w:lang w:eastAsia="fr-FR"/>
            <w14:ligatures w14:val="none"/>
          </w:rPr>
          <w:t>article 6 de la loi n° 89-462 du 6 juillet 1989</w:t>
        </w:r>
      </w:hyperlink>
      <w:r w:rsidRPr="00CB1B94">
        <w:rPr>
          <w:rFonts w:eastAsia="Times New Roman"/>
          <w:kern w:val="0"/>
          <w:sz w:val="24"/>
          <w:szCs w:val="24"/>
          <w:lang w:eastAsia="fr-FR"/>
          <w14:ligatures w14:val="none"/>
        </w:rPr>
        <w:t xml:space="preserve"> susvisée correspond, au sens de l'</w:t>
      </w:r>
      <w:hyperlink r:id="rId13" w:tooltip="Code de la construction et de l'habitation. - art. L173-1-1 (V)" w:history="1">
        <w:r w:rsidRPr="00CB1B94">
          <w:rPr>
            <w:rFonts w:eastAsia="Times New Roman"/>
            <w:color w:val="0000FF"/>
            <w:kern w:val="0"/>
            <w:sz w:val="24"/>
            <w:szCs w:val="24"/>
            <w:u w:val="single"/>
            <w:lang w:eastAsia="fr-FR"/>
            <w14:ligatures w14:val="none"/>
          </w:rPr>
          <w:t>article L.173-1-1 du code de la construction et de l'habitation</w:t>
        </w:r>
      </w:hyperlink>
      <w:r w:rsidRPr="00CB1B94">
        <w:rPr>
          <w:rFonts w:eastAsia="Times New Roman"/>
          <w:kern w:val="0"/>
          <w:sz w:val="24"/>
          <w:szCs w:val="24"/>
          <w:lang w:eastAsia="fr-FR"/>
          <w14:ligatures w14:val="none"/>
        </w:rPr>
        <w:t xml:space="preserve"> :</w:t>
      </w:r>
    </w:p>
    <w:p w14:paraId="3D42CB3F" w14:textId="77777777" w:rsidR="007D1954" w:rsidRDefault="007D1954" w:rsidP="007D1954">
      <w:pPr>
        <w:spacing w:after="0" w:line="240" w:lineRule="auto"/>
        <w:rPr>
          <w:rFonts w:eastAsia="Times New Roman"/>
          <w:kern w:val="0"/>
          <w:sz w:val="24"/>
          <w:szCs w:val="24"/>
          <w:lang w:eastAsia="fr-FR"/>
          <w14:ligatures w14:val="none"/>
        </w:rPr>
      </w:pPr>
    </w:p>
    <w:p w14:paraId="7287FB71" w14:textId="212C5843"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-à compter du 1er janvier 2025, à la classe F ;</w:t>
      </w:r>
    </w:p>
    <w:p w14:paraId="65C604A0" w14:textId="58F6B392"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-à compter du 1er janvier 2028, à la classe E ;</w:t>
      </w:r>
    </w:p>
    <w:p w14:paraId="78AC6196" w14:textId="0B53CA33"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-à compter du 1er janvier 2034, à la classe D.</w:t>
      </w:r>
    </w:p>
    <w:p w14:paraId="1E09E7B4" w14:textId="77777777" w:rsidR="007D1954" w:rsidRDefault="007D1954" w:rsidP="007D1954">
      <w:pPr>
        <w:spacing w:after="0" w:line="240" w:lineRule="auto"/>
        <w:rPr>
          <w:rFonts w:eastAsia="Times New Roman"/>
          <w:kern w:val="0"/>
          <w:sz w:val="24"/>
          <w:szCs w:val="24"/>
          <w:lang w:eastAsia="fr-FR"/>
          <w14:ligatures w14:val="none"/>
        </w:rPr>
      </w:pPr>
    </w:p>
    <w:p w14:paraId="0828B42D" w14:textId="467BFF9C"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II.-En Guadeloupe, en Martinique, en Guyane, à La Réunion et à Mayotte, le niveau de performance minimal prévu au premier alinéa de l'</w:t>
      </w:r>
      <w:hyperlink r:id="rId14" w:tooltip="Loi n° 89-462 du 6 juillet 1989 - art. 6 (VT)" w:history="1">
        <w:r w:rsidRPr="00CB1B94">
          <w:rPr>
            <w:rFonts w:eastAsia="Times New Roman"/>
            <w:color w:val="0000FF"/>
            <w:kern w:val="0"/>
            <w:sz w:val="24"/>
            <w:szCs w:val="24"/>
            <w:u w:val="single"/>
            <w:lang w:eastAsia="fr-FR"/>
            <w14:ligatures w14:val="none"/>
          </w:rPr>
          <w:t>article 6 de la loi n° 89-462 du 6 juillet 1989</w:t>
        </w:r>
      </w:hyperlink>
      <w:r w:rsidRPr="00CB1B94">
        <w:rPr>
          <w:rFonts w:eastAsia="Times New Roman"/>
          <w:kern w:val="0"/>
          <w:sz w:val="24"/>
          <w:szCs w:val="24"/>
          <w:lang w:eastAsia="fr-FR"/>
          <w14:ligatures w14:val="none"/>
        </w:rPr>
        <w:t xml:space="preserve"> susvisée correspond, au sens de l'</w:t>
      </w:r>
      <w:hyperlink r:id="rId15" w:tooltip="Code de la construction et de l'habitation. - art. L173-1-1 (V)" w:history="1">
        <w:r w:rsidRPr="00CB1B94">
          <w:rPr>
            <w:rFonts w:eastAsia="Times New Roman"/>
            <w:color w:val="0000FF"/>
            <w:kern w:val="0"/>
            <w:sz w:val="24"/>
            <w:szCs w:val="24"/>
            <w:u w:val="single"/>
            <w:lang w:eastAsia="fr-FR"/>
            <w14:ligatures w14:val="none"/>
          </w:rPr>
          <w:t>article L.173-1-1 du code de la construction et de l'habitation</w:t>
        </w:r>
      </w:hyperlink>
      <w:r w:rsidRPr="00CB1B94">
        <w:rPr>
          <w:rFonts w:eastAsia="Times New Roman"/>
          <w:kern w:val="0"/>
          <w:sz w:val="24"/>
          <w:szCs w:val="24"/>
          <w:lang w:eastAsia="fr-FR"/>
          <w14:ligatures w14:val="none"/>
        </w:rPr>
        <w:t xml:space="preserve"> :</w:t>
      </w:r>
    </w:p>
    <w:p w14:paraId="1D4270DD" w14:textId="77777777" w:rsidR="007D1954" w:rsidRDefault="007D1954" w:rsidP="007D1954">
      <w:pPr>
        <w:spacing w:after="0" w:line="240" w:lineRule="auto"/>
        <w:rPr>
          <w:rFonts w:eastAsia="Times New Roman"/>
          <w:kern w:val="0"/>
          <w:sz w:val="24"/>
          <w:szCs w:val="24"/>
          <w:lang w:eastAsia="fr-FR"/>
          <w14:ligatures w14:val="none"/>
        </w:rPr>
      </w:pPr>
    </w:p>
    <w:p w14:paraId="1C94DF6B" w14:textId="7D0AAAAC"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-à compter du 1er janvier 2028, à la classe F ;</w:t>
      </w:r>
    </w:p>
    <w:p w14:paraId="164BC0C6" w14:textId="40707B72"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-à compter du 1er janvier 2031, à la classe E.</w:t>
      </w:r>
    </w:p>
    <w:p w14:paraId="5DD725B3" w14:textId="77777777" w:rsidR="007D1954" w:rsidRDefault="007D1954" w:rsidP="007D1954">
      <w:pPr>
        <w:spacing w:after="0" w:line="240" w:lineRule="auto"/>
        <w:rPr>
          <w:rFonts w:eastAsia="Times New Roman"/>
          <w:i/>
          <w:iCs/>
          <w:kern w:val="0"/>
          <w:sz w:val="24"/>
          <w:szCs w:val="24"/>
          <w:lang w:eastAsia="fr-FR"/>
          <w14:ligatures w14:val="none"/>
        </w:rPr>
      </w:pPr>
    </w:p>
    <w:p w14:paraId="73335AAC" w14:textId="18F082D0" w:rsidR="00CB1B94" w:rsidRPr="00CB1B94" w:rsidRDefault="00CB1B94" w:rsidP="007D1954">
      <w:pPr>
        <w:spacing w:after="0" w:line="240" w:lineRule="auto"/>
        <w:rPr>
          <w:rFonts w:eastAsia="Times New Roman"/>
          <w:i/>
          <w:iCs/>
          <w:kern w:val="0"/>
          <w:sz w:val="24"/>
          <w:szCs w:val="24"/>
          <w:lang w:eastAsia="fr-FR"/>
          <w14:ligatures w14:val="none"/>
        </w:rPr>
      </w:pPr>
      <w:r w:rsidRPr="00CB1B94">
        <w:rPr>
          <w:rFonts w:eastAsia="Times New Roman"/>
          <w:i/>
          <w:iCs/>
          <w:kern w:val="0"/>
          <w:sz w:val="24"/>
          <w:szCs w:val="24"/>
          <w:lang w:eastAsia="fr-FR"/>
          <w14:ligatures w14:val="none"/>
        </w:rPr>
        <w:t>Conformément à l’article 2 du décret n° 2023-796 du 18 août 2023, ces dispositions entrent en vigueur à compter du 1er janvier 2025.</w:t>
      </w:r>
    </w:p>
    <w:p w14:paraId="7E257F3E" w14:textId="77777777" w:rsidR="007D1954" w:rsidRDefault="007D1954" w:rsidP="007D1954">
      <w:pPr>
        <w:spacing w:after="0" w:line="240" w:lineRule="auto"/>
        <w:rPr>
          <w:rFonts w:eastAsia="Times New Roman"/>
          <w:kern w:val="0"/>
          <w:sz w:val="24"/>
          <w:szCs w:val="24"/>
          <w:lang w:eastAsia="fr-FR"/>
          <w14:ligatures w14:val="none"/>
        </w:rPr>
      </w:pPr>
    </w:p>
    <w:p w14:paraId="29194D7E" w14:textId="21CE3073" w:rsidR="00CB1B94" w:rsidRPr="00CB1B94" w:rsidRDefault="00CB1B94" w:rsidP="007D1954">
      <w:pPr>
        <w:spacing w:after="0" w:line="240" w:lineRule="auto"/>
        <w:rPr>
          <w:rFonts w:eastAsia="Times New Roman"/>
          <w:kern w:val="0"/>
          <w:sz w:val="24"/>
          <w:szCs w:val="24"/>
          <w:lang w:eastAsia="fr-FR"/>
          <w14:ligatures w14:val="none"/>
        </w:rPr>
      </w:pPr>
      <w:hyperlink r:id="rId16" w:history="1">
        <w:r w:rsidRPr="00CB1B94">
          <w:rPr>
            <w:rFonts w:eastAsia="Times New Roman"/>
            <w:color w:val="0000FF"/>
            <w:kern w:val="0"/>
            <w:sz w:val="24"/>
            <w:szCs w:val="24"/>
            <w:u w:val="single"/>
            <w:lang w:eastAsia="fr-FR"/>
            <w14:ligatures w14:val="none"/>
          </w:rPr>
          <w:t>Article 3 ter</w:t>
        </w:r>
      </w:hyperlink>
      <w:r>
        <w:rPr>
          <w:rFonts w:eastAsia="Times New Roman"/>
          <w:kern w:val="0"/>
          <w:sz w:val="24"/>
          <w:szCs w:val="24"/>
          <w:lang w:eastAsia="fr-FR"/>
          <w14:ligatures w14:val="none"/>
        </w:rPr>
        <w:t xml:space="preserve"> /</w:t>
      </w:r>
      <w:hyperlink r:id="rId17" w:history="1">
        <w:r w:rsidRPr="00CB1B94">
          <w:rPr>
            <w:rFonts w:eastAsia="Times New Roman"/>
            <w:color w:val="0000FF"/>
            <w:kern w:val="0"/>
            <w:sz w:val="24"/>
            <w:szCs w:val="24"/>
            <w:u w:val="single"/>
            <w:lang w:eastAsia="fr-FR"/>
            <w14:ligatures w14:val="none"/>
          </w:rPr>
          <w:t>Création Décret n°2023-796 du 18 août 2023 - art. 3 (V)</w:t>
        </w:r>
        <w:r w:rsidRPr="00CB1B94">
          <w:rPr>
            <w:rFonts w:eastAsia="Times New Roman"/>
            <w:color w:val="0000FF"/>
            <w:kern w:val="0"/>
            <w:sz w:val="24"/>
            <w:szCs w:val="24"/>
            <w:u w:val="single"/>
            <w:lang w:eastAsia="fr-FR"/>
            <w14:ligatures w14:val="none"/>
          </w:rPr>
          <w:br/>
        </w:r>
      </w:hyperlink>
    </w:p>
    <w:p w14:paraId="4ABEB4C3" w14:textId="77777777"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 xml:space="preserve">I.-Pour l'application du </w:t>
      </w:r>
      <w:hyperlink r:id="rId18" w:history="1">
        <w:r w:rsidRPr="00CB1B94">
          <w:rPr>
            <w:rFonts w:eastAsia="Times New Roman"/>
            <w:color w:val="0000FF"/>
            <w:kern w:val="0"/>
            <w:sz w:val="24"/>
            <w:szCs w:val="24"/>
            <w:u w:val="single"/>
            <w:lang w:eastAsia="fr-FR"/>
            <w14:ligatures w14:val="none"/>
          </w:rPr>
          <w:t>sixième alinéa</w:t>
        </w:r>
        <w:r w:rsidRPr="00CB1B94">
          <w:rPr>
            <w:rFonts w:eastAsia="Times New Roman"/>
            <w:color w:val="0000FF"/>
            <w:kern w:val="0"/>
            <w:sz w:val="24"/>
            <w:szCs w:val="24"/>
            <w:u w:val="single"/>
            <w:lang w:eastAsia="fr-FR"/>
            <w14:ligatures w14:val="none"/>
          </w:rPr>
          <w:t xml:space="preserve"> </w:t>
        </w:r>
        <w:r w:rsidRPr="00CB1B94">
          <w:rPr>
            <w:rFonts w:eastAsia="Times New Roman"/>
            <w:color w:val="0000FF"/>
            <w:kern w:val="0"/>
            <w:sz w:val="24"/>
            <w:szCs w:val="24"/>
            <w:u w:val="single"/>
            <w:lang w:eastAsia="fr-FR"/>
            <w14:ligatures w14:val="none"/>
          </w:rPr>
          <w:t>de l'article 20-1 de la loi n° 89-462 du 6 juillet 1989 susvisée</w:t>
        </w:r>
      </w:hyperlink>
      <w:r w:rsidRPr="00CB1B94">
        <w:rPr>
          <w:rFonts w:eastAsia="Times New Roman"/>
          <w:kern w:val="0"/>
          <w:sz w:val="24"/>
          <w:szCs w:val="24"/>
          <w:lang w:eastAsia="fr-FR"/>
          <w14:ligatures w14:val="none"/>
        </w:rPr>
        <w:t>, les cas dans lesquels il est impossible pour le juge d'ordonner la réalisation de travaux visant à atteindre un niveau de performance minimal malgré la réalisation de travaux compatibles avec ces contraintes sont les suivants :</w:t>
      </w:r>
    </w:p>
    <w:p w14:paraId="3E70F34C" w14:textId="77777777" w:rsidR="007D1954" w:rsidRDefault="007D1954" w:rsidP="007D1954">
      <w:pPr>
        <w:spacing w:after="0" w:line="240" w:lineRule="auto"/>
        <w:rPr>
          <w:rFonts w:eastAsia="Times New Roman"/>
          <w:kern w:val="0"/>
          <w:sz w:val="24"/>
          <w:szCs w:val="24"/>
          <w:lang w:eastAsia="fr-FR"/>
          <w14:ligatures w14:val="none"/>
        </w:rPr>
      </w:pPr>
    </w:p>
    <w:p w14:paraId="11297C74" w14:textId="7F8F7B0F"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a) Les travaux nécessaires feraient courir un risque de pathologie du bâti, affectant notamment les structures ou le clos et couvert des bâtiments, attesté par une note argumentée rédigée, sous sa responsabilité, par un homme de l'art ;</w:t>
      </w:r>
    </w:p>
    <w:p w14:paraId="435ABE16" w14:textId="77777777" w:rsidR="007D1954" w:rsidRDefault="007D1954" w:rsidP="007D1954">
      <w:pPr>
        <w:spacing w:after="0" w:line="240" w:lineRule="auto"/>
        <w:rPr>
          <w:rFonts w:eastAsia="Times New Roman"/>
          <w:kern w:val="0"/>
          <w:sz w:val="24"/>
          <w:szCs w:val="24"/>
          <w:lang w:eastAsia="fr-FR"/>
          <w14:ligatures w14:val="none"/>
        </w:rPr>
      </w:pPr>
    </w:p>
    <w:p w14:paraId="7F9818EC" w14:textId="0E328666"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 xml:space="preserve">b) Les travaux nécessaires, entraînant des modifications de l'état des parties extérieures, y compris du second œuvre, ou de l'état des éléments d'architecture et de décoration de la construction, ont fait l'objet, pour ce motif, d'un refus </w:t>
      </w:r>
      <w:proofErr w:type="gramStart"/>
      <w:r w:rsidRPr="00CB1B94">
        <w:rPr>
          <w:rFonts w:eastAsia="Times New Roman"/>
          <w:kern w:val="0"/>
          <w:sz w:val="24"/>
          <w:szCs w:val="24"/>
          <w:lang w:eastAsia="fr-FR"/>
          <w14:ligatures w14:val="none"/>
        </w:rPr>
        <w:lastRenderedPageBreak/>
        <w:t>d'autorisation</w:t>
      </w:r>
      <w:proofErr w:type="gramEnd"/>
      <w:r w:rsidRPr="00CB1B94">
        <w:rPr>
          <w:rFonts w:eastAsia="Times New Roman"/>
          <w:kern w:val="0"/>
          <w:sz w:val="24"/>
          <w:szCs w:val="24"/>
          <w:lang w:eastAsia="fr-FR"/>
          <w14:ligatures w14:val="none"/>
        </w:rPr>
        <w:t xml:space="preserve"> par l'autorité administrative compétente sur le fondement des dispositions législatives et réglementaires du livre VI du code du patrimoine, du titre IV du livre III du code de l'environnement ou du livre Ier du code de l'urbanisme.</w:t>
      </w:r>
    </w:p>
    <w:p w14:paraId="09010B13" w14:textId="1BEDF4F1"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II.-Le propriétaire produit aux débats les pièces justifiant de l'impossibilité de réaliser les travaux visant à atteindre un niveau de performance minimal.</w:t>
      </w:r>
    </w:p>
    <w:p w14:paraId="08129CC4" w14:textId="448ACD2C" w:rsid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Le juge peut, notamment, surseoir à statuer dans l'attente de l'intervention de la décision de l'autorité administrative compétente pour autoriser la réalisation de ces travaux.</w:t>
      </w:r>
    </w:p>
    <w:p w14:paraId="714DAB31" w14:textId="77777777" w:rsidR="00C71F2F" w:rsidRPr="00CB1B94" w:rsidRDefault="00C71F2F" w:rsidP="007D1954">
      <w:pPr>
        <w:spacing w:after="0" w:line="240" w:lineRule="auto"/>
        <w:rPr>
          <w:rFonts w:eastAsia="Times New Roman"/>
          <w:kern w:val="0"/>
          <w:sz w:val="24"/>
          <w:szCs w:val="24"/>
          <w:lang w:eastAsia="fr-FR"/>
          <w14:ligatures w14:val="none"/>
        </w:rPr>
      </w:pPr>
    </w:p>
    <w:p w14:paraId="2F798FAB" w14:textId="77777777" w:rsidR="00CB1B94" w:rsidRDefault="00CB1B94" w:rsidP="007D1954">
      <w:pPr>
        <w:spacing w:after="0" w:line="240" w:lineRule="auto"/>
        <w:rPr>
          <w:rFonts w:eastAsia="Times New Roman"/>
          <w:i/>
          <w:iCs/>
          <w:kern w:val="0"/>
          <w:sz w:val="24"/>
          <w:szCs w:val="24"/>
          <w:lang w:eastAsia="fr-FR"/>
          <w14:ligatures w14:val="none"/>
        </w:rPr>
      </w:pPr>
      <w:r w:rsidRPr="00CB1B94">
        <w:rPr>
          <w:rFonts w:eastAsia="Times New Roman"/>
          <w:i/>
          <w:iCs/>
          <w:kern w:val="0"/>
          <w:sz w:val="24"/>
          <w:szCs w:val="24"/>
          <w:lang w:eastAsia="fr-FR"/>
          <w14:ligatures w14:val="none"/>
        </w:rPr>
        <w:t>Conformément à l’article 3 du décret n° 2023-796 du 18 août 2023, ces dispositions entrent en vigueur à compter du 1er janvier 2025.</w:t>
      </w:r>
    </w:p>
    <w:p w14:paraId="54DE5F99" w14:textId="77777777" w:rsidR="00C71F2F" w:rsidRPr="00CB1B94" w:rsidRDefault="00C71F2F" w:rsidP="007D1954">
      <w:pPr>
        <w:spacing w:after="0" w:line="240" w:lineRule="auto"/>
        <w:rPr>
          <w:rFonts w:eastAsia="Times New Roman"/>
          <w:i/>
          <w:iCs/>
          <w:kern w:val="0"/>
          <w:sz w:val="24"/>
          <w:szCs w:val="24"/>
          <w:lang w:eastAsia="fr-FR"/>
          <w14:ligatures w14:val="none"/>
        </w:rPr>
      </w:pPr>
    </w:p>
    <w:p w14:paraId="6E7CDC19" w14:textId="6148E51F" w:rsidR="00CB1B94" w:rsidRPr="00CB1B94" w:rsidRDefault="00CB1B94" w:rsidP="007D1954">
      <w:pPr>
        <w:spacing w:after="0" w:line="240" w:lineRule="auto"/>
        <w:rPr>
          <w:rFonts w:eastAsia="Times New Roman"/>
          <w:kern w:val="0"/>
          <w:sz w:val="24"/>
          <w:szCs w:val="24"/>
          <w:lang w:eastAsia="fr-FR"/>
          <w14:ligatures w14:val="none"/>
        </w:rPr>
      </w:pPr>
      <w:hyperlink r:id="rId19" w:history="1">
        <w:r w:rsidRPr="00CB1B94">
          <w:rPr>
            <w:rFonts w:eastAsia="Times New Roman"/>
            <w:color w:val="0000FF"/>
            <w:kern w:val="0"/>
            <w:sz w:val="24"/>
            <w:szCs w:val="24"/>
            <w:u w:val="single"/>
            <w:lang w:eastAsia="fr-FR"/>
            <w14:ligatures w14:val="none"/>
          </w:rPr>
          <w:t>Article 4</w:t>
        </w:r>
      </w:hyperlink>
      <w:r>
        <w:rPr>
          <w:rFonts w:eastAsia="Times New Roman"/>
          <w:kern w:val="0"/>
          <w:sz w:val="24"/>
          <w:szCs w:val="24"/>
          <w:lang w:eastAsia="fr-FR"/>
          <w14:ligatures w14:val="none"/>
        </w:rPr>
        <w:t xml:space="preserve"> / </w:t>
      </w:r>
      <w:hyperlink r:id="rId20" w:history="1">
        <w:r w:rsidRPr="00CB1B94">
          <w:rPr>
            <w:rFonts w:eastAsia="Times New Roman"/>
            <w:color w:val="0000FF"/>
            <w:kern w:val="0"/>
            <w:sz w:val="24"/>
            <w:szCs w:val="24"/>
            <w:u w:val="single"/>
            <w:lang w:eastAsia="fr-FR"/>
            <w14:ligatures w14:val="none"/>
          </w:rPr>
          <w:t>Modifié par Décret n°2021-872 du 30 juin 2021 - art. 8</w:t>
        </w:r>
        <w:r w:rsidRPr="00CB1B94">
          <w:rPr>
            <w:rFonts w:eastAsia="Times New Roman"/>
            <w:color w:val="0000FF"/>
            <w:kern w:val="0"/>
            <w:sz w:val="24"/>
            <w:szCs w:val="24"/>
            <w:u w:val="single"/>
            <w:lang w:eastAsia="fr-FR"/>
            <w14:ligatures w14:val="none"/>
          </w:rPr>
          <w:br/>
        </w:r>
      </w:hyperlink>
    </w:p>
    <w:p w14:paraId="4714988D" w14:textId="77777777"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 xml:space="preserve">Le logement dispose au moins d'une pièce principale ayant soit une surface habitable au moins égale à 9 mètres carrés et une hauteur sous plafond au moins égale à 2,20 mètres, soit un volume habitable au moins égal à 20 mètres cubes. </w:t>
      </w:r>
    </w:p>
    <w:p w14:paraId="7C2D4198" w14:textId="77777777" w:rsid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 xml:space="preserve">La surface habitable et le volume habitable sont déterminés conformément aux dispositions des deuxième et troisième alinéas de l'article </w:t>
      </w:r>
      <w:hyperlink r:id="rId21" w:tooltip="Code de la construction et de l'habitation. - art. R156-1 (V)" w:history="1">
        <w:r w:rsidRPr="00CB1B94">
          <w:rPr>
            <w:rFonts w:eastAsia="Times New Roman"/>
            <w:color w:val="0000FF"/>
            <w:kern w:val="0"/>
            <w:sz w:val="24"/>
            <w:szCs w:val="24"/>
            <w:u w:val="single"/>
            <w:lang w:eastAsia="fr-FR"/>
            <w14:ligatures w14:val="none"/>
          </w:rPr>
          <w:t>R. 156-1</w:t>
        </w:r>
      </w:hyperlink>
      <w:r w:rsidRPr="00CB1B94">
        <w:rPr>
          <w:rFonts w:eastAsia="Times New Roman"/>
          <w:kern w:val="0"/>
          <w:sz w:val="24"/>
          <w:szCs w:val="24"/>
          <w:lang w:eastAsia="fr-FR"/>
          <w14:ligatures w14:val="none"/>
        </w:rPr>
        <w:t xml:space="preserve"> du code de la construction et de l'habitation.</w:t>
      </w:r>
    </w:p>
    <w:p w14:paraId="7716FAC1" w14:textId="77777777" w:rsidR="00C71F2F" w:rsidRPr="00CB1B94" w:rsidRDefault="00C71F2F" w:rsidP="007D1954">
      <w:pPr>
        <w:spacing w:after="0" w:line="240" w:lineRule="auto"/>
        <w:rPr>
          <w:rFonts w:eastAsia="Times New Roman"/>
          <w:kern w:val="0"/>
          <w:sz w:val="24"/>
          <w:szCs w:val="24"/>
          <w:lang w:eastAsia="fr-FR"/>
          <w14:ligatures w14:val="none"/>
        </w:rPr>
      </w:pPr>
    </w:p>
    <w:p w14:paraId="68F88252" w14:textId="5D4F2D09" w:rsidR="00CB1B94" w:rsidRPr="00CB1B94" w:rsidRDefault="00CB1B94" w:rsidP="007D1954">
      <w:pPr>
        <w:spacing w:after="0" w:line="240" w:lineRule="auto"/>
        <w:rPr>
          <w:rFonts w:eastAsia="Times New Roman"/>
          <w:kern w:val="0"/>
          <w:sz w:val="24"/>
          <w:szCs w:val="24"/>
          <w:lang w:eastAsia="fr-FR"/>
          <w14:ligatures w14:val="none"/>
        </w:rPr>
      </w:pPr>
      <w:hyperlink r:id="rId22" w:history="1">
        <w:r w:rsidRPr="00CB1B94">
          <w:rPr>
            <w:rFonts w:eastAsia="Times New Roman"/>
            <w:color w:val="0000FF"/>
            <w:kern w:val="0"/>
            <w:sz w:val="24"/>
            <w:szCs w:val="24"/>
            <w:u w:val="single"/>
            <w:lang w:eastAsia="fr-FR"/>
            <w14:ligatures w14:val="none"/>
          </w:rPr>
          <w:t>Article 5</w:t>
        </w:r>
      </w:hyperlink>
      <w:r>
        <w:rPr>
          <w:rFonts w:eastAsia="Times New Roman"/>
          <w:kern w:val="0"/>
          <w:sz w:val="24"/>
          <w:szCs w:val="24"/>
          <w:lang w:eastAsia="fr-FR"/>
          <w14:ligatures w14:val="none"/>
        </w:rPr>
        <w:t xml:space="preserve"> / </w:t>
      </w:r>
      <w:hyperlink r:id="rId23" w:history="1">
        <w:r w:rsidRPr="00CB1B94">
          <w:rPr>
            <w:rFonts w:eastAsia="Times New Roman"/>
            <w:color w:val="0000FF"/>
            <w:kern w:val="0"/>
            <w:sz w:val="24"/>
            <w:szCs w:val="24"/>
            <w:u w:val="single"/>
            <w:lang w:eastAsia="fr-FR"/>
            <w14:ligatures w14:val="none"/>
          </w:rPr>
          <w:t>Modifié par Décret n°2020-1711 du 24 décembre 2020 - art. 6</w:t>
        </w:r>
        <w:r w:rsidRPr="00CB1B94">
          <w:rPr>
            <w:rFonts w:eastAsia="Times New Roman"/>
            <w:color w:val="0000FF"/>
            <w:kern w:val="0"/>
            <w:sz w:val="24"/>
            <w:szCs w:val="24"/>
            <w:u w:val="single"/>
            <w:lang w:eastAsia="fr-FR"/>
            <w14:ligatures w14:val="none"/>
          </w:rPr>
          <w:br/>
        </w:r>
      </w:hyperlink>
    </w:p>
    <w:p w14:paraId="20AC8438" w14:textId="77777777" w:rsid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Le logement qui fait l'objet d'un arrêté de mise en sécurité ou de traitement de l'insalubrité pris en application de l'article L. 511-11 du code de la construction et de l'habitation ne peut être considéré comme un logement décent.</w:t>
      </w:r>
    </w:p>
    <w:p w14:paraId="313FAC6E" w14:textId="77777777" w:rsidR="00C71F2F" w:rsidRPr="00CB1B94" w:rsidRDefault="00C71F2F" w:rsidP="007D1954">
      <w:pPr>
        <w:spacing w:after="0" w:line="240" w:lineRule="auto"/>
        <w:rPr>
          <w:rFonts w:eastAsia="Times New Roman"/>
          <w:kern w:val="0"/>
          <w:sz w:val="24"/>
          <w:szCs w:val="24"/>
          <w:lang w:eastAsia="fr-FR"/>
          <w14:ligatures w14:val="none"/>
        </w:rPr>
      </w:pPr>
    </w:p>
    <w:p w14:paraId="160FF2FA" w14:textId="77777777" w:rsidR="00CB1B94" w:rsidRPr="00CB1B94" w:rsidRDefault="00CB1B94" w:rsidP="007D1954">
      <w:pPr>
        <w:spacing w:after="0" w:line="240" w:lineRule="auto"/>
        <w:rPr>
          <w:rFonts w:eastAsia="Times New Roman"/>
          <w:i/>
          <w:iCs/>
          <w:kern w:val="0"/>
          <w:sz w:val="24"/>
          <w:szCs w:val="24"/>
          <w:lang w:eastAsia="fr-FR"/>
          <w14:ligatures w14:val="none"/>
        </w:rPr>
      </w:pPr>
      <w:r w:rsidRPr="00CB1B94">
        <w:rPr>
          <w:rFonts w:eastAsia="Times New Roman"/>
          <w:i/>
          <w:iCs/>
          <w:kern w:val="0"/>
          <w:sz w:val="24"/>
          <w:szCs w:val="24"/>
          <w:lang w:eastAsia="fr-FR"/>
          <w14:ligatures w14:val="none"/>
        </w:rPr>
        <w:t>Conformément à l'article 7 du décret n° 2020-1711 du 24 décembre 2020, les dispositions issues dudit décret entrent en vigueur le 1er janvier 2021 et ne sont applicables qu'aux arrêtés notifiés à compter de cette date.</w:t>
      </w:r>
    </w:p>
    <w:p w14:paraId="7CE9302A" w14:textId="77777777" w:rsidR="00CB1B94" w:rsidRPr="00CB1B94" w:rsidRDefault="00CB1B94" w:rsidP="007D1954">
      <w:pPr>
        <w:spacing w:after="0" w:line="240" w:lineRule="auto"/>
        <w:rPr>
          <w:rFonts w:eastAsia="Times New Roman"/>
          <w:i/>
          <w:iCs/>
          <w:kern w:val="0"/>
          <w:sz w:val="24"/>
          <w:szCs w:val="24"/>
          <w:lang w:eastAsia="fr-FR"/>
          <w14:ligatures w14:val="none"/>
        </w:rPr>
      </w:pPr>
      <w:r w:rsidRPr="00CB1B94">
        <w:rPr>
          <w:rFonts w:eastAsia="Times New Roman"/>
          <w:i/>
          <w:iCs/>
          <w:kern w:val="0"/>
          <w:sz w:val="24"/>
          <w:szCs w:val="24"/>
          <w:lang w:eastAsia="fr-FR"/>
          <w14:ligatures w14:val="none"/>
        </w:rPr>
        <w:t>Lorsqu'une procédure a commencé avant le 1er janvier 2021 en conformité avec les dispositions alors en vigueur, sans qu'un arrêté ait été notifié, elle se poursuit après le 1er janvier 2021 selon les règles applicables à compter de cette date.</w:t>
      </w:r>
    </w:p>
    <w:p w14:paraId="4FFB5C30" w14:textId="77777777" w:rsidR="00C71F2F" w:rsidRDefault="00C71F2F" w:rsidP="007D1954">
      <w:pPr>
        <w:spacing w:after="0" w:line="240" w:lineRule="auto"/>
        <w:rPr>
          <w:rFonts w:eastAsia="Times New Roman"/>
          <w:kern w:val="0"/>
          <w:sz w:val="24"/>
          <w:szCs w:val="24"/>
          <w:lang w:eastAsia="fr-FR"/>
          <w14:ligatures w14:val="none"/>
        </w:rPr>
      </w:pPr>
    </w:p>
    <w:p w14:paraId="5BD77805" w14:textId="72C6CEE0" w:rsidR="00CB1B94" w:rsidRDefault="00CB1B94" w:rsidP="007D1954">
      <w:pPr>
        <w:spacing w:after="0" w:line="240" w:lineRule="auto"/>
        <w:rPr>
          <w:rFonts w:eastAsia="Times New Roman"/>
          <w:kern w:val="0"/>
          <w:sz w:val="24"/>
          <w:szCs w:val="24"/>
          <w:lang w:eastAsia="fr-FR"/>
          <w14:ligatures w14:val="none"/>
        </w:rPr>
      </w:pPr>
      <w:hyperlink r:id="rId24" w:history="1">
        <w:r w:rsidRPr="00CB1B94">
          <w:rPr>
            <w:rFonts w:eastAsia="Times New Roman"/>
            <w:color w:val="0000FF"/>
            <w:kern w:val="0"/>
            <w:sz w:val="24"/>
            <w:szCs w:val="24"/>
            <w:u w:val="single"/>
            <w:lang w:eastAsia="fr-FR"/>
            <w14:ligatures w14:val="none"/>
          </w:rPr>
          <w:t>Article 6</w:t>
        </w:r>
      </w:hyperlink>
    </w:p>
    <w:p w14:paraId="6F512490" w14:textId="77777777" w:rsidR="00C71F2F" w:rsidRPr="00CB1B94" w:rsidRDefault="00C71F2F" w:rsidP="007D1954">
      <w:pPr>
        <w:spacing w:after="0" w:line="240" w:lineRule="auto"/>
        <w:rPr>
          <w:rFonts w:eastAsia="Times New Roman"/>
          <w:kern w:val="0"/>
          <w:sz w:val="24"/>
          <w:szCs w:val="24"/>
          <w:lang w:eastAsia="fr-FR"/>
          <w14:ligatures w14:val="none"/>
        </w:rPr>
      </w:pPr>
    </w:p>
    <w:p w14:paraId="74244C41" w14:textId="77777777" w:rsidR="00CB1B94" w:rsidRP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Les travaux d'amélioration prévus à l'article 1er de la loi du 12 juillet 1967 susvisée sont ceux qui ont pour but exclusif de mettre les locaux en conformité avec tout ou partie des dispositions des articles 1er à 4 du présent décret, sans aboutir à dépasser les caractéristiques qui y sont définies.</w:t>
      </w:r>
    </w:p>
    <w:p w14:paraId="2F8E3DCB" w14:textId="77777777" w:rsidR="00CB1B94" w:rsidRDefault="00CB1B94" w:rsidP="007D1954">
      <w:pPr>
        <w:spacing w:after="0" w:line="240" w:lineRule="auto"/>
        <w:rPr>
          <w:rFonts w:eastAsia="Times New Roman"/>
          <w:kern w:val="0"/>
          <w:sz w:val="24"/>
          <w:szCs w:val="24"/>
          <w:lang w:eastAsia="fr-FR"/>
          <w14:ligatures w14:val="none"/>
        </w:rPr>
      </w:pPr>
      <w:r w:rsidRPr="00CB1B94">
        <w:rPr>
          <w:rFonts w:eastAsia="Times New Roman"/>
          <w:kern w:val="0"/>
          <w:sz w:val="24"/>
          <w:szCs w:val="24"/>
          <w:lang w:eastAsia="fr-FR"/>
          <w14:ligatures w14:val="none"/>
        </w:rPr>
        <w:t>Les articles 1er, 5 à 14 et 17 du décret du 9 novembre 1968 susvisé sont abrogés.</w:t>
      </w:r>
    </w:p>
    <w:p w14:paraId="6992761C" w14:textId="77777777" w:rsidR="00C71F2F" w:rsidRDefault="00C71F2F" w:rsidP="007D1954">
      <w:pPr>
        <w:spacing w:after="0" w:line="240" w:lineRule="auto"/>
        <w:rPr>
          <w:rFonts w:eastAsia="Times New Roman"/>
          <w:kern w:val="0"/>
          <w:sz w:val="24"/>
          <w:szCs w:val="24"/>
          <w:lang w:eastAsia="fr-FR"/>
          <w14:ligatures w14:val="none"/>
        </w:rPr>
      </w:pPr>
    </w:p>
    <w:p w14:paraId="47BCC2BC" w14:textId="77777777" w:rsidR="00C71F2F" w:rsidRPr="00C71F2F" w:rsidRDefault="00C71F2F" w:rsidP="007D1954">
      <w:pPr>
        <w:spacing w:after="0" w:line="240" w:lineRule="auto"/>
        <w:rPr>
          <w:rFonts w:eastAsia="Times New Roman"/>
          <w:i/>
          <w:iCs/>
          <w:kern w:val="0"/>
          <w:sz w:val="24"/>
          <w:szCs w:val="24"/>
          <w:lang w:eastAsia="fr-FR"/>
          <w14:ligatures w14:val="none"/>
        </w:rPr>
      </w:pPr>
      <w:r w:rsidRPr="00C71F2F">
        <w:rPr>
          <w:rFonts w:eastAsia="Times New Roman"/>
          <w:i/>
          <w:iCs/>
          <w:kern w:val="0"/>
          <w:sz w:val="24"/>
          <w:szCs w:val="24"/>
          <w:lang w:eastAsia="fr-FR"/>
          <w14:ligatures w14:val="none"/>
        </w:rPr>
        <w:t>Les articles 6 bis, 6 ter, 6 quater font l’objet d’applications spécifiques aux départements et collectivités d’outre-mer.</w:t>
      </w:r>
    </w:p>
    <w:p w14:paraId="37CF910F" w14:textId="77777777" w:rsidR="00C71F2F" w:rsidRPr="00CB1B94" w:rsidRDefault="00C71F2F" w:rsidP="007D1954">
      <w:pPr>
        <w:spacing w:after="0" w:line="240" w:lineRule="auto"/>
        <w:rPr>
          <w:rFonts w:eastAsia="Times New Roman"/>
          <w:kern w:val="0"/>
          <w:sz w:val="24"/>
          <w:szCs w:val="24"/>
          <w:lang w:eastAsia="fr-FR"/>
          <w14:ligatures w14:val="none"/>
        </w:rPr>
      </w:pPr>
    </w:p>
    <w:p w14:paraId="7B436A95" w14:textId="77777777" w:rsidR="004545B0" w:rsidRDefault="00CB1B94" w:rsidP="007D1954">
      <w:pPr>
        <w:spacing w:after="0" w:line="240" w:lineRule="auto"/>
        <w:rPr>
          <w:rFonts w:eastAsia="Times New Roman"/>
          <w:kern w:val="0"/>
          <w:sz w:val="24"/>
          <w:szCs w:val="24"/>
          <w:lang w:eastAsia="fr-FR"/>
          <w14:ligatures w14:val="none"/>
        </w:rPr>
      </w:pPr>
      <w:hyperlink r:id="rId25" w:history="1">
        <w:r w:rsidRPr="00CB1B94">
          <w:rPr>
            <w:rFonts w:eastAsia="Times New Roman"/>
            <w:color w:val="0000FF"/>
            <w:kern w:val="0"/>
            <w:sz w:val="24"/>
            <w:szCs w:val="24"/>
            <w:u w:val="single"/>
            <w:lang w:eastAsia="fr-FR"/>
            <w14:ligatures w14:val="none"/>
          </w:rPr>
          <w:t>Article 7</w:t>
        </w:r>
      </w:hyperlink>
      <w:r w:rsidR="004545B0">
        <w:rPr>
          <w:rFonts w:eastAsia="Times New Roman"/>
          <w:kern w:val="0"/>
          <w:sz w:val="24"/>
          <w:szCs w:val="24"/>
          <w:lang w:eastAsia="fr-FR"/>
          <w14:ligatures w14:val="none"/>
        </w:rPr>
        <w:t xml:space="preserve"> : </w:t>
      </w:r>
    </w:p>
    <w:p w14:paraId="58B9CB13" w14:textId="77777777" w:rsidR="004545B0" w:rsidRDefault="004545B0" w:rsidP="007D1954">
      <w:pPr>
        <w:spacing w:after="0" w:line="240" w:lineRule="auto"/>
        <w:rPr>
          <w:rFonts w:eastAsia="Times New Roman"/>
          <w:kern w:val="0"/>
          <w:sz w:val="24"/>
          <w:szCs w:val="24"/>
          <w:lang w:eastAsia="fr-FR"/>
          <w14:ligatures w14:val="none"/>
        </w:rPr>
      </w:pPr>
    </w:p>
    <w:p w14:paraId="0192BA43" w14:textId="0D58FF96" w:rsidR="00CB1B94" w:rsidRPr="00CB1B94" w:rsidRDefault="004545B0" w:rsidP="007D1954">
      <w:pPr>
        <w:spacing w:after="0" w:line="240" w:lineRule="auto"/>
        <w:rPr>
          <w:rFonts w:eastAsia="Times New Roman"/>
          <w:kern w:val="0"/>
          <w:sz w:val="24"/>
          <w:szCs w:val="24"/>
          <w:lang w:eastAsia="fr-FR"/>
          <w14:ligatures w14:val="none"/>
        </w:rPr>
      </w:pPr>
      <w:r w:rsidRPr="004545B0">
        <w:rPr>
          <w:rFonts w:eastAsia="Times New Roman"/>
          <w:i/>
          <w:iCs/>
          <w:kern w:val="0"/>
          <w:sz w:val="24"/>
          <w:szCs w:val="24"/>
          <w:lang w:eastAsia="fr-FR"/>
          <w14:ligatures w14:val="none"/>
        </w:rPr>
        <w:t xml:space="preserve">Exécution </w:t>
      </w:r>
    </w:p>
    <w:p w14:paraId="2618E2D8" w14:textId="77777777" w:rsidR="009A47DC" w:rsidRPr="004545B0" w:rsidRDefault="009A47DC" w:rsidP="007D1954">
      <w:pPr>
        <w:spacing w:after="0" w:line="240" w:lineRule="auto"/>
        <w:rPr>
          <w:sz w:val="24"/>
          <w:szCs w:val="24"/>
        </w:rPr>
      </w:pPr>
    </w:p>
    <w:sectPr w:rsidR="009A47DC" w:rsidRPr="004545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C27FF"/>
    <w:multiLevelType w:val="multilevel"/>
    <w:tmpl w:val="4FB0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657398"/>
    <w:multiLevelType w:val="multilevel"/>
    <w:tmpl w:val="AC6A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108034">
    <w:abstractNumId w:val="0"/>
  </w:num>
  <w:num w:numId="2" w16cid:durableId="416634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94"/>
    <w:rsid w:val="00442DBB"/>
    <w:rsid w:val="004545B0"/>
    <w:rsid w:val="007D1954"/>
    <w:rsid w:val="009A47DC"/>
    <w:rsid w:val="00B572BB"/>
    <w:rsid w:val="00C71F2F"/>
    <w:rsid w:val="00CB1B94"/>
    <w:rsid w:val="00F83E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D7F5"/>
  <w15:chartTrackingRefBased/>
  <w15:docId w15:val="{0D2A6273-644C-4A4B-B8F5-274DD5EC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B1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B1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B1B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B1B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CB1B94"/>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CB1B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B1B94"/>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B1B94"/>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B1B94"/>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1B9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B1B9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B1B94"/>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CB1B94"/>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CB1B94"/>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CB1B94"/>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CB1B94"/>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CB1B94"/>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CB1B94"/>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CB1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B1B9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B1B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B1B94"/>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CB1B94"/>
    <w:pPr>
      <w:spacing w:before="160"/>
      <w:jc w:val="center"/>
    </w:pPr>
    <w:rPr>
      <w:i/>
      <w:iCs/>
      <w:color w:val="404040" w:themeColor="text1" w:themeTint="BF"/>
    </w:rPr>
  </w:style>
  <w:style w:type="character" w:customStyle="1" w:styleId="CitationCar">
    <w:name w:val="Citation Car"/>
    <w:basedOn w:val="Policepardfaut"/>
    <w:link w:val="Citation"/>
    <w:uiPriority w:val="29"/>
    <w:rsid w:val="00CB1B94"/>
    <w:rPr>
      <w:i/>
      <w:iCs/>
      <w:color w:val="404040" w:themeColor="text1" w:themeTint="BF"/>
    </w:rPr>
  </w:style>
  <w:style w:type="paragraph" w:styleId="Paragraphedeliste">
    <w:name w:val="List Paragraph"/>
    <w:basedOn w:val="Normal"/>
    <w:uiPriority w:val="34"/>
    <w:qFormat/>
    <w:rsid w:val="00CB1B94"/>
    <w:pPr>
      <w:ind w:left="720"/>
      <w:contextualSpacing/>
    </w:pPr>
  </w:style>
  <w:style w:type="character" w:styleId="Accentuationintense">
    <w:name w:val="Intense Emphasis"/>
    <w:basedOn w:val="Policepardfaut"/>
    <w:uiPriority w:val="21"/>
    <w:qFormat/>
    <w:rsid w:val="00CB1B94"/>
    <w:rPr>
      <w:i/>
      <w:iCs/>
      <w:color w:val="0F4761" w:themeColor="accent1" w:themeShade="BF"/>
    </w:rPr>
  </w:style>
  <w:style w:type="paragraph" w:styleId="Citationintense">
    <w:name w:val="Intense Quote"/>
    <w:basedOn w:val="Normal"/>
    <w:next w:val="Normal"/>
    <w:link w:val="CitationintenseCar"/>
    <w:uiPriority w:val="30"/>
    <w:qFormat/>
    <w:rsid w:val="00CB1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B1B94"/>
    <w:rPr>
      <w:i/>
      <w:iCs/>
      <w:color w:val="0F4761" w:themeColor="accent1" w:themeShade="BF"/>
    </w:rPr>
  </w:style>
  <w:style w:type="character" w:styleId="Rfrenceintense">
    <w:name w:val="Intense Reference"/>
    <w:basedOn w:val="Policepardfaut"/>
    <w:uiPriority w:val="32"/>
    <w:qFormat/>
    <w:rsid w:val="00CB1B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loda/article_lc/LEGIARTI000047983569" TargetMode="External"/><Relationship Id="rId13" Type="http://schemas.openxmlformats.org/officeDocument/2006/relationships/hyperlink" Target="https://www.legifrance.gouv.fr/affichCodeArticle.do?cidTexte=LEGITEXT000006074096&amp;idArticle=LEGIARTI000043966496&amp;dateTexte=&amp;categorieLien=cid" TargetMode="External"/><Relationship Id="rId18" Type="http://schemas.openxmlformats.org/officeDocument/2006/relationships/hyperlink" Target="https://www.legifrance.gouv.fr/affichTexteArticle.do?cidTexte=JORFTEXT000000509310&amp;idArticle=LEGIARTI000006475238&amp;dateTexte=&amp;categorieLien=ci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legifrance.gouv.fr/affichCodeArticle.do?cidTexte=LEGITEXT000006074096&amp;idArticle=LEGIARTI000043819221&amp;dateTexte=&amp;categorieLien=cid" TargetMode="External"/><Relationship Id="rId7" Type="http://schemas.openxmlformats.org/officeDocument/2006/relationships/hyperlink" Target="https://www.legifrance.gouv.fr/loda/id/LEGIARTI000047982107/2023-08-21" TargetMode="External"/><Relationship Id="rId12" Type="http://schemas.openxmlformats.org/officeDocument/2006/relationships/hyperlink" Target="https://www.legifrance.gouv.fr/affichTexteArticle.do?cidTexte=JORFTEXT000000509310&amp;idArticle=LEGIARTI000006475058&amp;dateTexte=&amp;categorieLien=cid" TargetMode="External"/><Relationship Id="rId17" Type="http://schemas.openxmlformats.org/officeDocument/2006/relationships/hyperlink" Target="https://www.legifrance.gouv.fr/loda/id/LEGIARTI000047982105/2023-08-21" TargetMode="External"/><Relationship Id="rId25" Type="http://schemas.openxmlformats.org/officeDocument/2006/relationships/hyperlink" Target="https://www.legifrance.gouv.fr/loda/article_lc/LEGIARTI000006207824" TargetMode="External"/><Relationship Id="rId2" Type="http://schemas.openxmlformats.org/officeDocument/2006/relationships/styles" Target="styles.xml"/><Relationship Id="rId16" Type="http://schemas.openxmlformats.org/officeDocument/2006/relationships/hyperlink" Target="https://www.legifrance.gouv.fr/loda/article_lc/LEGIARTI000047983556" TargetMode="External"/><Relationship Id="rId20" Type="http://schemas.openxmlformats.org/officeDocument/2006/relationships/hyperlink" Target="https://www.legifrance.gouv.fr/loda/id/LEGIARTI000043816028/2021-07-01" TargetMode="External"/><Relationship Id="rId1" Type="http://schemas.openxmlformats.org/officeDocument/2006/relationships/numbering" Target="numbering.xml"/><Relationship Id="rId6" Type="http://schemas.openxmlformats.org/officeDocument/2006/relationships/hyperlink" Target="https://www.legifrance.gouv.fr/loda/article_lc/LEGIARTI000047983572" TargetMode="External"/><Relationship Id="rId11" Type="http://schemas.openxmlformats.org/officeDocument/2006/relationships/hyperlink" Target="https://www.legifrance.gouv.fr/loda/id/LEGIARTI000047982103/2023-08-21" TargetMode="External"/><Relationship Id="rId24" Type="http://schemas.openxmlformats.org/officeDocument/2006/relationships/hyperlink" Target="https://www.legifrance.gouv.fr/loda/article_lc/LEGIARTI000006207823" TargetMode="External"/><Relationship Id="rId5" Type="http://schemas.openxmlformats.org/officeDocument/2006/relationships/hyperlink" Target="https://www.legifrance.gouv.fr/loda/article_lc/LEGIARTI000006207818" TargetMode="External"/><Relationship Id="rId15" Type="http://schemas.openxmlformats.org/officeDocument/2006/relationships/hyperlink" Target="https://www.legifrance.gouv.fr/affichCodeArticle.do?cidTexte=LEGITEXT000006074096&amp;idArticle=LEGIARTI000043966496&amp;dateTexte=&amp;categorieLien=cid" TargetMode="External"/><Relationship Id="rId23" Type="http://schemas.openxmlformats.org/officeDocument/2006/relationships/hyperlink" Target="https://www.legifrance.gouv.fr/loda/id/LEGIARTI000042865342/2021-01-01" TargetMode="External"/><Relationship Id="rId10" Type="http://schemas.openxmlformats.org/officeDocument/2006/relationships/hyperlink" Target="https://www.legifrance.gouv.fr/loda/article_lc/LEGIARTI000047983547" TargetMode="External"/><Relationship Id="rId19" Type="http://schemas.openxmlformats.org/officeDocument/2006/relationships/hyperlink" Target="https://www.legifrance.gouv.fr/loda/article_lc/LEGIARTI000043842463" TargetMode="External"/><Relationship Id="rId4" Type="http://schemas.openxmlformats.org/officeDocument/2006/relationships/webSettings" Target="webSettings.xml"/><Relationship Id="rId9" Type="http://schemas.openxmlformats.org/officeDocument/2006/relationships/hyperlink" Target="https://www.legifrance.gouv.fr/loda/id/LEGIARTI000047982107/2023-08-21" TargetMode="External"/><Relationship Id="rId14" Type="http://schemas.openxmlformats.org/officeDocument/2006/relationships/hyperlink" Target="https://www.legifrance.gouv.fr/affichTexteArticle.do?cidTexte=JORFTEXT000000509310&amp;idArticle=LEGIARTI000006475058&amp;dateTexte=&amp;categorieLien=cid" TargetMode="External"/><Relationship Id="rId22" Type="http://schemas.openxmlformats.org/officeDocument/2006/relationships/hyperlink" Target="https://www.legifrance.gouv.fr/loda/article_lc/LEGIARTI000042878416"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2058</Words>
  <Characters>11320</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bouche</dc:creator>
  <cp:keywords/>
  <dc:description/>
  <cp:lastModifiedBy>nancy bouche</cp:lastModifiedBy>
  <cp:revision>1</cp:revision>
  <dcterms:created xsi:type="dcterms:W3CDTF">2026-04-01T14:06:00Z</dcterms:created>
  <dcterms:modified xsi:type="dcterms:W3CDTF">2026-04-01T14:43:00Z</dcterms:modified>
</cp:coreProperties>
</file>