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60" w:rsidRDefault="00390660" w:rsidP="00390660">
      <w:pPr>
        <w:spacing w:after="120" w:line="240" w:lineRule="auto"/>
        <w:jc w:val="center"/>
        <w:rPr>
          <w:rFonts w:ascii="Arial" w:eastAsia="Times New Roman" w:hAnsi="Arial" w:cs="Arial"/>
          <w:b/>
          <w:sz w:val="24"/>
          <w:szCs w:val="24"/>
          <w:lang w:eastAsia="fr-FR"/>
        </w:rPr>
      </w:pPr>
      <w:r w:rsidRPr="00390660">
        <w:rPr>
          <w:rFonts w:ascii="Arial" w:eastAsia="Times New Roman" w:hAnsi="Arial" w:cs="Arial"/>
          <w:b/>
          <w:sz w:val="24"/>
          <w:szCs w:val="24"/>
          <w:lang w:eastAsia="fr-FR"/>
        </w:rPr>
        <w:t>PRESENTATION DES ELEMENTS ESSENTIELS DE LA LOI "HABITAT</w:t>
      </w:r>
    </w:p>
    <w:p w:rsidR="00390660" w:rsidRPr="00390660" w:rsidRDefault="00390660" w:rsidP="00390660">
      <w:pPr>
        <w:spacing w:after="120" w:line="240" w:lineRule="auto"/>
        <w:jc w:val="center"/>
        <w:rPr>
          <w:rFonts w:ascii="Arial" w:eastAsia="Times New Roman" w:hAnsi="Arial" w:cs="Arial"/>
          <w:b/>
          <w:sz w:val="24"/>
          <w:szCs w:val="24"/>
          <w:lang w:eastAsia="fr-FR"/>
        </w:rPr>
      </w:pPr>
      <w:r w:rsidRPr="00390660">
        <w:rPr>
          <w:rFonts w:ascii="Arial" w:eastAsia="Times New Roman" w:hAnsi="Arial" w:cs="Arial"/>
          <w:b/>
          <w:sz w:val="24"/>
          <w:szCs w:val="24"/>
          <w:lang w:eastAsia="fr-FR"/>
        </w:rPr>
        <w:t>DEGRADE"  INTERESSANT L'HABITAT INDIGNE OU DEGRADE</w:t>
      </w:r>
    </w:p>
    <w:p w:rsidR="00390660" w:rsidRDefault="00390660" w:rsidP="00390660">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 Maitre Stéphanie Jacq-Moreau</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Suite à la promulgation de la loi du 9 avril 2024 « </w:t>
      </w:r>
      <w:r w:rsidRPr="00390660">
        <w:rPr>
          <w:rFonts w:ascii="Times New Roman" w:eastAsia="Times New Roman" w:hAnsi="Times New Roman" w:cs="Times New Roman"/>
          <w:i/>
          <w:iCs/>
          <w:sz w:val="24"/>
          <w:szCs w:val="24"/>
          <w:lang w:eastAsia="fr-FR"/>
        </w:rPr>
        <w:t>visant à l'accélération et à la simplification de la rénovation de l'habitat dégradé et des grandes opérations d'aménagement </w:t>
      </w:r>
      <w:r w:rsidRPr="0039066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votre attention est </w:t>
      </w:r>
      <w:r w:rsidRPr="00390660">
        <w:rPr>
          <w:rFonts w:ascii="Times New Roman" w:eastAsia="Times New Roman" w:hAnsi="Times New Roman" w:cs="Times New Roman"/>
          <w:sz w:val="24"/>
          <w:szCs w:val="24"/>
          <w:lang w:eastAsia="fr-FR"/>
        </w:rPr>
        <w:t>attir</w:t>
      </w:r>
      <w:r>
        <w:rPr>
          <w:rFonts w:ascii="Times New Roman" w:eastAsia="Times New Roman" w:hAnsi="Times New Roman" w:cs="Times New Roman"/>
          <w:sz w:val="24"/>
          <w:szCs w:val="24"/>
          <w:lang w:eastAsia="fr-FR"/>
        </w:rPr>
        <w:t xml:space="preserve">ée </w:t>
      </w:r>
      <w:r w:rsidRPr="00390660">
        <w:rPr>
          <w:rFonts w:ascii="Times New Roman" w:eastAsia="Times New Roman" w:hAnsi="Times New Roman" w:cs="Times New Roman"/>
          <w:sz w:val="24"/>
          <w:szCs w:val="24"/>
          <w:lang w:eastAsia="fr-FR"/>
        </w:rPr>
        <w:t>en particulier sur les évolutions suivantes dans le domaine des procédures de lutte contre l’habitat indigne et d’application immédiate.</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w:t>
      </w:r>
      <w:r w:rsidRPr="00390660">
        <w:rPr>
          <w:rFonts w:ascii="Times New Roman" w:eastAsia="Times New Roman" w:hAnsi="Times New Roman" w:cs="Times New Roman"/>
          <w:b/>
          <w:bCs/>
          <w:sz w:val="24"/>
          <w:szCs w:val="24"/>
          <w:lang w:eastAsia="fr-FR"/>
        </w:rPr>
        <w:t>I.  </w:t>
      </w:r>
      <w:r w:rsidRPr="00390660">
        <w:rPr>
          <w:rFonts w:ascii="Times New Roman" w:eastAsia="Times New Roman" w:hAnsi="Times New Roman" w:cs="Times New Roman"/>
          <w:b/>
          <w:bCs/>
          <w:sz w:val="24"/>
          <w:szCs w:val="24"/>
          <w:u w:val="single"/>
          <w:lang w:eastAsia="fr-FR"/>
        </w:rPr>
        <w:t>Sur la police de l’habitat :</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i/>
          <w:iCs/>
          <w:sz w:val="24"/>
          <w:szCs w:val="24"/>
          <w:u w:val="single"/>
          <w:lang w:eastAsia="fr-FR"/>
        </w:rPr>
        <w:t>Dispositions générales</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u w:val="single"/>
          <w:lang w:eastAsia="fr-FR"/>
        </w:rPr>
        <w:t>extension de l’obligation d’information des occupants</w:t>
      </w:r>
      <w:r w:rsidRPr="00390660">
        <w:rPr>
          <w:rFonts w:ascii="Times New Roman" w:eastAsia="Times New Roman" w:hAnsi="Times New Roman" w:cs="Times New Roman"/>
          <w:sz w:val="24"/>
          <w:szCs w:val="24"/>
          <w:lang w:eastAsia="fr-FR"/>
        </w:rPr>
        <w:t> : le maire / préfet doit informer les occupants des immeubles de la procédure mise en œuvre dès la phase contradictoire, par courrier ou remise contre signature par affichage sur la façade de l'immeuble (art. L511-10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u w:val="single"/>
          <w:lang w:eastAsia="fr-FR"/>
        </w:rPr>
        <w:t>renforcement des sanctions pénales</w:t>
      </w:r>
      <w:r w:rsidRPr="00390660">
        <w:rPr>
          <w:rFonts w:ascii="Times New Roman" w:eastAsia="Times New Roman" w:hAnsi="Times New Roman" w:cs="Times New Roman"/>
          <w:sz w:val="24"/>
          <w:szCs w:val="24"/>
          <w:lang w:eastAsia="fr-FR"/>
        </w:rPr>
        <w:t> : l’infraction consistant à dégrader, détériorer, détruire des locaux ou à les rendre impropres à l'habitation dans le but d'en faire partir les occupants peut être constituée dès la phase contradictoire (art. L511-22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u w:val="single"/>
          <w:lang w:eastAsia="fr-FR"/>
        </w:rPr>
        <w:t>sur les constats permettant de fonder la procédure de mise en sécurité</w:t>
      </w:r>
      <w:r w:rsidRPr="00390660">
        <w:rPr>
          <w:rFonts w:ascii="Times New Roman" w:eastAsia="Times New Roman" w:hAnsi="Times New Roman" w:cs="Times New Roman"/>
          <w:sz w:val="24"/>
          <w:szCs w:val="24"/>
          <w:lang w:eastAsia="fr-FR"/>
        </w:rPr>
        <w:t> :</w:t>
      </w:r>
      <w:proofErr w:type="gramStart"/>
      <w:r w:rsidRPr="00390660">
        <w:rPr>
          <w:rFonts w:ascii="Times New Roman" w:eastAsia="Times New Roman" w:hAnsi="Times New Roman" w:cs="Times New Roman"/>
          <w:sz w:val="24"/>
          <w:szCs w:val="24"/>
          <w:lang w:eastAsia="fr-FR"/>
        </w:rPr>
        <w:t>  les</w:t>
      </w:r>
      <w:proofErr w:type="gramEnd"/>
      <w:r w:rsidRPr="00390660">
        <w:rPr>
          <w:rFonts w:ascii="Times New Roman" w:eastAsia="Times New Roman" w:hAnsi="Times New Roman" w:cs="Times New Roman"/>
          <w:sz w:val="24"/>
          <w:szCs w:val="24"/>
          <w:lang w:eastAsia="fr-FR"/>
        </w:rPr>
        <w:t xml:space="preserve"> situations d'insécurité relatives à l’entreposage de matière inflammables et au fonctionnement défectueux / défaut d'entretien des équipements communs, lorsqu’elles concernent le risque incendie, peuvent être constatées par un rapport des services départementaux d'incendie et de secours (</w:t>
      </w:r>
      <w:r w:rsidR="005B6C88">
        <w:rPr>
          <w:rFonts w:ascii="Times New Roman" w:eastAsia="Times New Roman" w:hAnsi="Times New Roman" w:cs="Times New Roman"/>
          <w:i/>
          <w:iCs/>
          <w:sz w:val="24"/>
          <w:szCs w:val="24"/>
          <w:lang w:eastAsia="fr-FR"/>
        </w:rPr>
        <w:t>de façon alternative au</w:t>
      </w:r>
      <w:r w:rsidRPr="00390660">
        <w:rPr>
          <w:rFonts w:ascii="Times New Roman" w:eastAsia="Times New Roman" w:hAnsi="Times New Roman" w:cs="Times New Roman"/>
          <w:i/>
          <w:iCs/>
          <w:sz w:val="24"/>
          <w:szCs w:val="24"/>
          <w:lang w:eastAsia="fr-FR"/>
        </w:rPr>
        <w:t xml:space="preserve"> rapport des services municipaux ou de l’expert judicaire</w:t>
      </w:r>
      <w:r w:rsidRPr="00390660">
        <w:rPr>
          <w:rFonts w:ascii="Times New Roman" w:eastAsia="Times New Roman" w:hAnsi="Times New Roman" w:cs="Times New Roman"/>
          <w:sz w:val="24"/>
          <w:szCs w:val="24"/>
          <w:lang w:eastAsia="fr-FR"/>
        </w:rPr>
        <w:t>). (</w:t>
      </w:r>
      <w:proofErr w:type="gramStart"/>
      <w:r w:rsidRPr="00390660">
        <w:rPr>
          <w:rFonts w:ascii="Times New Roman" w:eastAsia="Times New Roman" w:hAnsi="Times New Roman" w:cs="Times New Roman"/>
          <w:sz w:val="24"/>
          <w:szCs w:val="24"/>
          <w:lang w:eastAsia="fr-FR"/>
        </w:rPr>
        <w:t>art</w:t>
      </w:r>
      <w:proofErr w:type="gramEnd"/>
      <w:r w:rsidRPr="00390660">
        <w:rPr>
          <w:rFonts w:ascii="Times New Roman" w:eastAsia="Times New Roman" w:hAnsi="Times New Roman" w:cs="Times New Roman"/>
          <w:sz w:val="24"/>
          <w:szCs w:val="24"/>
          <w:lang w:eastAsia="fr-FR"/>
        </w:rPr>
        <w:t xml:space="preserve"> L. 511-2 2° et 3°, L 511-8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 xml:space="preserve">sur l’exécution de l’arrêté </w:t>
      </w:r>
      <w:r>
        <w:rPr>
          <w:rFonts w:ascii="Times New Roman" w:eastAsia="Times New Roman" w:hAnsi="Times New Roman" w:cs="Times New Roman"/>
          <w:b/>
          <w:bCs/>
          <w:sz w:val="24"/>
          <w:szCs w:val="24"/>
          <w:u w:val="single"/>
          <w:lang w:eastAsia="fr-FR"/>
        </w:rPr>
        <w:t xml:space="preserve">concernant des locaux vacants </w:t>
      </w:r>
      <w:r w:rsidRPr="00390660">
        <w:rPr>
          <w:rFonts w:ascii="Times New Roman" w:eastAsia="Times New Roman" w:hAnsi="Times New Roman" w:cs="Times New Roman"/>
          <w:b/>
          <w:bCs/>
          <w:sz w:val="24"/>
          <w:szCs w:val="24"/>
          <w:lang w:eastAsia="fr-FR"/>
        </w:rPr>
        <w:t>: suppression du cas de dispense des délais d’exécution et de l’application d</w:t>
      </w:r>
      <w:r>
        <w:rPr>
          <w:rFonts w:ascii="Times New Roman" w:eastAsia="Times New Roman" w:hAnsi="Times New Roman" w:cs="Times New Roman"/>
          <w:b/>
          <w:bCs/>
          <w:sz w:val="24"/>
          <w:szCs w:val="24"/>
          <w:lang w:eastAsia="fr-FR"/>
        </w:rPr>
        <w:t>e l’astreinte en cas de vacance des locaux.</w:t>
      </w: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Désormais les prescriptions doivent être exécutées même si le local a été libéré et l’astreinte demeure applicable</w:t>
      </w:r>
      <w:r w:rsidRPr="00390660">
        <w:rPr>
          <w:rFonts w:ascii="Times New Roman" w:eastAsia="Times New Roman" w:hAnsi="Times New Roman" w:cs="Times New Roman"/>
          <w:b/>
          <w:bCs/>
          <w:sz w:val="24"/>
          <w:szCs w:val="24"/>
          <w:lang w:eastAsia="fr-FR"/>
        </w:rPr>
        <w:t xml:space="preserve"> (art. L511-11 et </w:t>
      </w:r>
      <w:r w:rsidR="005B6C88">
        <w:rPr>
          <w:rFonts w:ascii="Times New Roman" w:eastAsia="Times New Roman" w:hAnsi="Times New Roman" w:cs="Times New Roman"/>
          <w:b/>
          <w:bCs/>
          <w:sz w:val="24"/>
          <w:szCs w:val="24"/>
          <w:lang w:eastAsia="fr-FR"/>
        </w:rPr>
        <w:t>L511-</w:t>
      </w:r>
      <w:r w:rsidRPr="00390660">
        <w:rPr>
          <w:rFonts w:ascii="Times New Roman" w:eastAsia="Times New Roman" w:hAnsi="Times New Roman" w:cs="Times New Roman"/>
          <w:b/>
          <w:bCs/>
          <w:sz w:val="24"/>
          <w:szCs w:val="24"/>
          <w:lang w:eastAsia="fr-FR"/>
        </w:rPr>
        <w:t>15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protection des occupants de locaux commerciaux</w:t>
      </w:r>
      <w:r w:rsidRPr="00390660">
        <w:rPr>
          <w:rFonts w:ascii="Times New Roman" w:eastAsia="Times New Roman" w:hAnsi="Times New Roman" w:cs="Times New Roman"/>
          <w:b/>
          <w:bCs/>
          <w:sz w:val="24"/>
          <w:szCs w:val="24"/>
          <w:lang w:eastAsia="fr-FR"/>
        </w:rPr>
        <w:t> :</w:t>
      </w:r>
      <w:r w:rsidRPr="00390660">
        <w:rPr>
          <w:rFonts w:ascii="Times New Roman" w:eastAsia="Times New Roman" w:hAnsi="Times New Roman" w:cs="Times New Roman"/>
          <w:sz w:val="24"/>
          <w:szCs w:val="24"/>
          <w:lang w:eastAsia="fr-FR"/>
        </w:rPr>
        <w:t xml:space="preserve"> extension de la suspension du loyer aux locataires de baux commerciaux (art. L.521-2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évolution des modalit</w:t>
      </w:r>
      <w:r>
        <w:rPr>
          <w:rFonts w:ascii="Times New Roman" w:eastAsia="Times New Roman" w:hAnsi="Times New Roman" w:cs="Times New Roman"/>
          <w:b/>
          <w:bCs/>
          <w:sz w:val="24"/>
          <w:szCs w:val="24"/>
          <w:u w:val="single"/>
          <w:lang w:eastAsia="fr-FR"/>
        </w:rPr>
        <w:t xml:space="preserve">és de chiffrage justifiant une interdiction définitive d'habiter </w:t>
      </w:r>
      <w:r w:rsidRPr="00390660">
        <w:rPr>
          <w:rFonts w:ascii="Times New Roman" w:eastAsia="Times New Roman" w:hAnsi="Times New Roman" w:cs="Times New Roman"/>
          <w:b/>
          <w:bCs/>
          <w:sz w:val="24"/>
          <w:szCs w:val="24"/>
          <w:u w:val="single"/>
          <w:lang w:eastAsia="fr-FR"/>
        </w:rPr>
        <w:t xml:space="preserve">ou </w:t>
      </w:r>
      <w:r>
        <w:rPr>
          <w:rFonts w:ascii="Times New Roman" w:eastAsia="Times New Roman" w:hAnsi="Times New Roman" w:cs="Times New Roman"/>
          <w:b/>
          <w:bCs/>
          <w:sz w:val="24"/>
          <w:szCs w:val="24"/>
          <w:u w:val="single"/>
          <w:lang w:eastAsia="fr-FR"/>
        </w:rPr>
        <w:t>d'</w:t>
      </w:r>
      <w:r w:rsidRPr="00390660">
        <w:rPr>
          <w:rFonts w:ascii="Times New Roman" w:eastAsia="Times New Roman" w:hAnsi="Times New Roman" w:cs="Times New Roman"/>
          <w:b/>
          <w:bCs/>
          <w:sz w:val="24"/>
          <w:szCs w:val="24"/>
          <w:u w:val="single"/>
          <w:lang w:eastAsia="fr-FR"/>
        </w:rPr>
        <w:t>une prescription de démolition</w:t>
      </w:r>
      <w:r w:rsidRPr="00390660">
        <w:rPr>
          <w:rFonts w:ascii="Times New Roman" w:eastAsia="Times New Roman" w:hAnsi="Times New Roman" w:cs="Times New Roman"/>
          <w:b/>
          <w:bCs/>
          <w:sz w:val="24"/>
          <w:szCs w:val="24"/>
          <w:lang w:eastAsia="fr-FR"/>
        </w:rPr>
        <w:t> :</w:t>
      </w:r>
      <w:proofErr w:type="gramStart"/>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sz w:val="24"/>
          <w:szCs w:val="24"/>
          <w:lang w:eastAsia="fr-FR"/>
        </w:rPr>
        <w:t>pour</w:t>
      </w:r>
      <w:proofErr w:type="gramEnd"/>
      <w:r w:rsidRPr="00390660">
        <w:rPr>
          <w:rFonts w:ascii="Times New Roman" w:eastAsia="Times New Roman" w:hAnsi="Times New Roman" w:cs="Times New Roman"/>
          <w:sz w:val="24"/>
          <w:szCs w:val="24"/>
          <w:lang w:eastAsia="fr-FR"/>
        </w:rPr>
        <w:t xml:space="preserve"> prendre une telle mesure le « coût de la remise en état du bien aux normes de salubrité, de sécurité et de décence » (et non plus avec le coût des seuls travaux nécessaires à la résorption de la situation d’insalubrité/d’insécurité) doit être supérieur au coût de reconstructio</w:t>
      </w:r>
      <w:r>
        <w:rPr>
          <w:rFonts w:ascii="Times New Roman" w:eastAsia="Times New Roman" w:hAnsi="Times New Roman" w:cs="Times New Roman"/>
          <w:sz w:val="24"/>
          <w:szCs w:val="24"/>
          <w:lang w:eastAsia="fr-FR"/>
        </w:rPr>
        <w:t>n (art. L511-11 CCH). C</w:t>
      </w:r>
      <w:r w:rsidRPr="00390660">
        <w:rPr>
          <w:rFonts w:ascii="Times New Roman" w:eastAsia="Times New Roman" w:hAnsi="Times New Roman" w:cs="Times New Roman"/>
          <w:sz w:val="24"/>
          <w:szCs w:val="24"/>
          <w:lang w:eastAsia="fr-FR"/>
        </w:rPr>
        <w:t>ette nouvelle méthode de chiffrage assouplit et sécurise  les conditions permettant de prononcer une telle mesure en particulier en matière de péril.</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sur </w:t>
      </w:r>
      <w:r w:rsidRPr="00390660">
        <w:rPr>
          <w:rFonts w:ascii="Times New Roman" w:eastAsia="Times New Roman" w:hAnsi="Times New Roman" w:cs="Times New Roman"/>
          <w:sz w:val="24"/>
          <w:szCs w:val="24"/>
          <w:u w:val="single"/>
          <w:lang w:eastAsia="fr-FR"/>
        </w:rPr>
        <w:t>les infractions passibles d’une amende de 100 000 € :</w:t>
      </w:r>
      <w:r w:rsidRPr="00390660">
        <w:rPr>
          <w:rFonts w:ascii="Times New Roman" w:eastAsia="Times New Roman" w:hAnsi="Times New Roman" w:cs="Times New Roman"/>
          <w:sz w:val="24"/>
          <w:szCs w:val="24"/>
          <w:lang w:eastAsia="fr-FR"/>
        </w:rPr>
        <w:t xml:space="preserve"> l’article L511-22 vise désormais expressément, le non-respect de mauvaise foi d’un arrêté prescrivant une cessation de mise à disposition de locaux impropres à l’habitation / une interdiction d’utiliser (</w:t>
      </w:r>
      <w:r w:rsidRPr="00390660">
        <w:rPr>
          <w:rFonts w:ascii="Times New Roman" w:eastAsia="Times New Roman" w:hAnsi="Times New Roman" w:cs="Times New Roman"/>
          <w:i/>
          <w:iCs/>
          <w:sz w:val="24"/>
          <w:szCs w:val="24"/>
          <w:lang w:eastAsia="fr-FR"/>
        </w:rPr>
        <w:t xml:space="preserve">et plus seulement une </w:t>
      </w:r>
      <w:r w:rsidR="0065356B">
        <w:rPr>
          <w:rFonts w:ascii="Times New Roman" w:eastAsia="Times New Roman" w:hAnsi="Times New Roman" w:cs="Times New Roman"/>
          <w:i/>
          <w:iCs/>
          <w:sz w:val="24"/>
          <w:szCs w:val="24"/>
          <w:lang w:eastAsia="fr-FR"/>
        </w:rPr>
        <w:t xml:space="preserve"> interdiction d'habiter</w:t>
      </w:r>
      <w:r w:rsidRPr="00390660">
        <w:rPr>
          <w:rFonts w:ascii="Times New Roman" w:eastAsia="Times New Roman" w:hAnsi="Times New Roman" w:cs="Times New Roman"/>
          <w:sz w:val="24"/>
          <w:szCs w:val="24"/>
          <w:lang w:eastAsia="fr-FR"/>
        </w:rPr>
        <w:t>) (art. L511-22)</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i/>
          <w:iCs/>
          <w:sz w:val="24"/>
          <w:szCs w:val="24"/>
          <w:u w:val="single"/>
          <w:lang w:eastAsia="fr-FR"/>
        </w:rPr>
        <w:lastRenderedPageBreak/>
        <w:t>Dispositions applicables en copropriété</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en cas de vente d’un lot de copropriété, l’arrêté de police visant l’immeuble devra être i</w:t>
      </w:r>
      <w:r>
        <w:rPr>
          <w:rFonts w:ascii="Times New Roman" w:eastAsia="Times New Roman" w:hAnsi="Times New Roman" w:cs="Times New Roman"/>
          <w:sz w:val="24"/>
          <w:szCs w:val="24"/>
          <w:lang w:eastAsia="fr-FR"/>
        </w:rPr>
        <w:t>ntégré au dossier de diagnostic</w:t>
      </w:r>
      <w:r w:rsidRPr="00390660">
        <w:rPr>
          <w:rFonts w:ascii="Times New Roman" w:eastAsia="Times New Roman" w:hAnsi="Times New Roman" w:cs="Times New Roman"/>
          <w:sz w:val="24"/>
          <w:szCs w:val="24"/>
          <w:lang w:eastAsia="fr-FR"/>
        </w:rPr>
        <w:t xml:space="preserve"> technique (</w:t>
      </w:r>
      <w:r w:rsidRPr="00390660">
        <w:rPr>
          <w:rFonts w:ascii="Times New Roman" w:eastAsia="Times New Roman" w:hAnsi="Times New Roman" w:cs="Times New Roman"/>
          <w:i/>
          <w:iCs/>
          <w:sz w:val="24"/>
          <w:szCs w:val="24"/>
          <w:lang w:eastAsia="fr-FR"/>
        </w:rPr>
        <w:t>l’absence de ce document étant un motif de résolution</w:t>
      </w:r>
      <w:r w:rsidRPr="00390660">
        <w:rPr>
          <w:rFonts w:ascii="Times New Roman" w:eastAsia="Times New Roman" w:hAnsi="Times New Roman" w:cs="Times New Roman"/>
          <w:sz w:val="24"/>
          <w:szCs w:val="24"/>
          <w:lang w:eastAsia="fr-FR"/>
        </w:rPr>
        <w:t>) (article L271-</w:t>
      </w:r>
      <w:r w:rsidR="005B6C88">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lang w:eastAsia="fr-FR"/>
        </w:rPr>
        <w:t>4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lorsque la procédure concerne les parties communes d’un immeuble en copropriété, l’obligation d’information du syndic est étendue aux </w:t>
      </w:r>
      <w:r w:rsidRPr="00390660">
        <w:rPr>
          <w:rFonts w:ascii="Times New Roman" w:eastAsia="Times New Roman" w:hAnsi="Times New Roman" w:cs="Times New Roman"/>
          <w:b/>
          <w:sz w:val="24"/>
          <w:szCs w:val="24"/>
          <w:u w:val="single"/>
          <w:lang w:eastAsia="fr-FR"/>
        </w:rPr>
        <w:t>occupants</w:t>
      </w:r>
      <w:r w:rsidRPr="0039066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w:t>
      </w:r>
      <w:r w:rsidRPr="00390660">
        <w:rPr>
          <w:rFonts w:ascii="Times New Roman" w:eastAsia="Times New Roman" w:hAnsi="Times New Roman" w:cs="Times New Roman"/>
          <w:sz w:val="24"/>
          <w:szCs w:val="24"/>
          <w:lang w:eastAsia="fr-FR"/>
        </w:rPr>
        <w:t>plus seulement aux copropriétaire</w:t>
      </w:r>
      <w:r>
        <w:rPr>
          <w:rFonts w:ascii="Times New Roman" w:eastAsia="Times New Roman" w:hAnsi="Times New Roman" w:cs="Times New Roman"/>
          <w:sz w:val="24"/>
          <w:szCs w:val="24"/>
          <w:lang w:eastAsia="fr-FR"/>
        </w:rPr>
        <w:t>s</w:t>
      </w:r>
      <w:r w:rsidRPr="00390660">
        <w:rPr>
          <w:rFonts w:ascii="Times New Roman" w:eastAsia="Times New Roman" w:hAnsi="Times New Roman" w:cs="Times New Roman"/>
          <w:sz w:val="24"/>
          <w:szCs w:val="24"/>
          <w:lang w:eastAsia="fr-FR"/>
        </w:rPr>
        <w:t>), et ce dès le stade de la phase contradictoire</w:t>
      </w:r>
      <w:r>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lang w:eastAsia="fr-FR"/>
        </w:rPr>
        <w:t xml:space="preserve">– il incombe donc au syndic d’aviser occupants et copropriétaires de la procédure (art. L511-10 et </w:t>
      </w:r>
      <w:r w:rsidR="005B6C88">
        <w:rPr>
          <w:rFonts w:ascii="Times New Roman" w:eastAsia="Times New Roman" w:hAnsi="Times New Roman" w:cs="Times New Roman"/>
          <w:sz w:val="24"/>
          <w:szCs w:val="24"/>
          <w:lang w:eastAsia="fr-FR"/>
        </w:rPr>
        <w:t>L511-</w:t>
      </w:r>
      <w:r w:rsidRPr="00390660">
        <w:rPr>
          <w:rFonts w:ascii="Times New Roman" w:eastAsia="Times New Roman" w:hAnsi="Times New Roman" w:cs="Times New Roman"/>
          <w:sz w:val="24"/>
          <w:szCs w:val="24"/>
          <w:lang w:eastAsia="fr-FR"/>
        </w:rPr>
        <w:t>12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lorsqu’un arrêté de police vise un immeuble en copropriété, possibilité pour le signataire de l’arrêté (maire ou préfet) d’assister ou de se faire représenter à l’AG, de formuler des observations, d’être </w:t>
      </w:r>
      <w:r w:rsidR="005B6C88">
        <w:rPr>
          <w:rFonts w:ascii="Times New Roman" w:eastAsia="Times New Roman" w:hAnsi="Times New Roman" w:cs="Times New Roman"/>
          <w:sz w:val="24"/>
          <w:szCs w:val="24"/>
          <w:lang w:eastAsia="fr-FR"/>
        </w:rPr>
        <w:t xml:space="preserve">destinataire du PV d’AG  (art </w:t>
      </w:r>
      <w:r w:rsidRPr="00390660">
        <w:rPr>
          <w:rFonts w:ascii="Times New Roman" w:eastAsia="Times New Roman" w:hAnsi="Times New Roman" w:cs="Times New Roman"/>
          <w:sz w:val="24"/>
          <w:szCs w:val="24"/>
          <w:lang w:eastAsia="fr-FR"/>
        </w:rPr>
        <w:t>29-16. L</w:t>
      </w:r>
      <w:r w:rsidR="005B6C88">
        <w:rPr>
          <w:rFonts w:ascii="Times New Roman" w:eastAsia="Times New Roman" w:hAnsi="Times New Roman" w:cs="Times New Roman"/>
          <w:sz w:val="24"/>
          <w:szCs w:val="24"/>
          <w:lang w:eastAsia="fr-FR"/>
        </w:rPr>
        <w:t xml:space="preserve">oi de </w:t>
      </w:r>
      <w:r w:rsidRPr="00390660">
        <w:rPr>
          <w:rFonts w:ascii="Times New Roman" w:eastAsia="Times New Roman" w:hAnsi="Times New Roman" w:cs="Times New Roman"/>
          <w:sz w:val="24"/>
          <w:szCs w:val="24"/>
          <w:lang w:eastAsia="fr-FR"/>
        </w:rPr>
        <w:t>1965)</w:t>
      </w:r>
      <w:r>
        <w:rPr>
          <w:rFonts w:ascii="Times New Roman" w:eastAsia="Times New Roman" w:hAnsi="Times New Roman" w:cs="Times New Roman"/>
          <w:sz w:val="24"/>
          <w:szCs w:val="24"/>
          <w:lang w:eastAsia="fr-FR"/>
        </w:rPr>
        <w:t>. C</w:t>
      </w:r>
      <w:r w:rsidRPr="00390660">
        <w:rPr>
          <w:rFonts w:ascii="Times New Roman" w:eastAsia="Times New Roman" w:hAnsi="Times New Roman" w:cs="Times New Roman"/>
          <w:sz w:val="24"/>
          <w:szCs w:val="24"/>
          <w:lang w:eastAsia="fr-FR"/>
        </w:rPr>
        <w:t>ela pourrait favoriser le dialogue auprès des copropriétaire</w:t>
      </w:r>
      <w:r>
        <w:rPr>
          <w:rFonts w:ascii="Times New Roman" w:eastAsia="Times New Roman" w:hAnsi="Times New Roman" w:cs="Times New Roman"/>
          <w:sz w:val="24"/>
          <w:szCs w:val="24"/>
          <w:lang w:eastAsia="fr-FR"/>
        </w:rPr>
        <w:t>s</w:t>
      </w:r>
      <w:r w:rsidRPr="00390660">
        <w:rPr>
          <w:rFonts w:ascii="Times New Roman" w:eastAsia="Times New Roman" w:hAnsi="Times New Roman" w:cs="Times New Roman"/>
          <w:sz w:val="24"/>
          <w:szCs w:val="24"/>
          <w:lang w:eastAsia="fr-FR"/>
        </w:rPr>
        <w:t xml:space="preserve"> et favoriser </w:t>
      </w:r>
      <w:r>
        <w:rPr>
          <w:rFonts w:ascii="Times New Roman" w:eastAsia="Times New Roman" w:hAnsi="Times New Roman" w:cs="Times New Roman"/>
          <w:sz w:val="24"/>
          <w:szCs w:val="24"/>
          <w:lang w:eastAsia="fr-FR"/>
        </w:rPr>
        <w:t xml:space="preserve">le </w:t>
      </w:r>
      <w:r w:rsidRPr="00390660">
        <w:rPr>
          <w:rFonts w:ascii="Times New Roman" w:eastAsia="Times New Roman" w:hAnsi="Times New Roman" w:cs="Times New Roman"/>
          <w:sz w:val="24"/>
          <w:szCs w:val="24"/>
          <w:lang w:eastAsia="fr-FR"/>
        </w:rPr>
        <w:t>suivi d’exécution</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lang w:eastAsia="fr-FR"/>
        </w:rPr>
        <w:t> </w:t>
      </w:r>
      <w:r>
        <w:rPr>
          <w:rFonts w:ascii="Times New Roman" w:eastAsia="Times New Roman" w:hAnsi="Times New Roman" w:cs="Times New Roman"/>
          <w:b/>
          <w:bCs/>
          <w:sz w:val="24"/>
          <w:szCs w:val="24"/>
          <w:lang w:eastAsia="fr-FR"/>
        </w:rPr>
        <w:t>II. </w:t>
      </w: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Sur le permis de louer / permis de diviser</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u w:val="single"/>
          <w:lang w:eastAsia="fr-FR"/>
        </w:rPr>
        <w:t>II1. Le permis de louer</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u w:val="single"/>
          <w:lang w:eastAsia="fr-FR"/>
        </w:rPr>
        <w:t>la délégation de l’instruction aux communes volontaires par l’EPCI compétent pour instaurer le dispositif</w:t>
      </w:r>
      <w:r>
        <w:rPr>
          <w:rFonts w:ascii="Times New Roman" w:eastAsia="Times New Roman" w:hAnsi="Times New Roman" w:cs="Times New Roman"/>
          <w:sz w:val="24"/>
          <w:szCs w:val="24"/>
          <w:u w:val="single"/>
          <w:lang w:eastAsia="fr-FR"/>
        </w:rPr>
        <w:t xml:space="preserve"> </w:t>
      </w:r>
      <w:r w:rsidRPr="00390660">
        <w:rPr>
          <w:rFonts w:ascii="Times New Roman" w:eastAsia="Times New Roman" w:hAnsi="Times New Roman" w:cs="Times New Roman"/>
          <w:sz w:val="24"/>
          <w:szCs w:val="24"/>
          <w:lang w:eastAsia="fr-FR"/>
        </w:rPr>
        <w:t xml:space="preserve"> n’est plus conditionnée à l’existence d’un PLH et la durée de cette délégation est déterminée librement par l’EPCI avec la commune (L 634-1 et L.635-1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b/>
          <w:bCs/>
          <w:sz w:val="24"/>
          <w:szCs w:val="24"/>
          <w:u w:val="single"/>
          <w:lang w:eastAsia="fr-FR"/>
        </w:rPr>
        <w:t>instauration d’un droit de visite pour l’instruction de l’</w:t>
      </w:r>
      <w:r>
        <w:rPr>
          <w:rFonts w:ascii="Times New Roman" w:eastAsia="Times New Roman" w:hAnsi="Times New Roman" w:cs="Times New Roman"/>
          <w:b/>
          <w:bCs/>
          <w:sz w:val="24"/>
          <w:szCs w:val="24"/>
          <w:u w:val="single"/>
          <w:lang w:eastAsia="fr-FR"/>
        </w:rPr>
        <w:t xml:space="preserve"> autorisation préalable à la mise en location (</w:t>
      </w:r>
      <w:r w:rsidRPr="00390660">
        <w:rPr>
          <w:rFonts w:ascii="Times New Roman" w:eastAsia="Times New Roman" w:hAnsi="Times New Roman" w:cs="Times New Roman"/>
          <w:b/>
          <w:bCs/>
          <w:sz w:val="24"/>
          <w:szCs w:val="24"/>
          <w:u w:val="single"/>
          <w:lang w:eastAsia="fr-FR"/>
        </w:rPr>
        <w:t>APML</w:t>
      </w:r>
      <w:r>
        <w:rPr>
          <w:rFonts w:ascii="Times New Roman" w:eastAsia="Times New Roman" w:hAnsi="Times New Roman" w:cs="Times New Roman"/>
          <w:b/>
          <w:bCs/>
          <w:sz w:val="24"/>
          <w:szCs w:val="24"/>
          <w:u w:val="single"/>
          <w:lang w:eastAsia="fr-FR"/>
        </w:rPr>
        <w:t>)</w:t>
      </w:r>
      <w:r w:rsidRPr="00390660">
        <w:rPr>
          <w:rFonts w:ascii="Times New Roman" w:eastAsia="Times New Roman" w:hAnsi="Times New Roman" w:cs="Times New Roman"/>
          <w:sz w:val="24"/>
          <w:szCs w:val="24"/>
          <w:lang w:eastAsia="fr-FR"/>
        </w:rPr>
        <w:t> : durant l’instruction</w:t>
      </w:r>
      <w:r w:rsidR="00F77F79">
        <w:rPr>
          <w:rFonts w:ascii="Times New Roman" w:eastAsia="Times New Roman" w:hAnsi="Times New Roman" w:cs="Times New Roman"/>
          <w:sz w:val="24"/>
          <w:szCs w:val="24"/>
          <w:lang w:eastAsia="fr-FR"/>
        </w:rPr>
        <w:t xml:space="preserve"> de la demande, la</w:t>
      </w:r>
      <w:r w:rsidRPr="00390660">
        <w:rPr>
          <w:rFonts w:ascii="Times New Roman" w:eastAsia="Times New Roman" w:hAnsi="Times New Roman" w:cs="Times New Roman"/>
          <w:sz w:val="24"/>
          <w:szCs w:val="24"/>
          <w:lang w:eastAsia="fr-FR"/>
        </w:rPr>
        <w:t xml:space="preserve"> visite est </w:t>
      </w:r>
      <w:r w:rsidR="00F77F79">
        <w:rPr>
          <w:rFonts w:ascii="Times New Roman" w:eastAsia="Times New Roman" w:hAnsi="Times New Roman" w:cs="Times New Roman"/>
          <w:sz w:val="24"/>
          <w:szCs w:val="24"/>
          <w:lang w:eastAsia="fr-FR"/>
        </w:rPr>
        <w:t xml:space="preserve">explicitement autorisée et est effectuée </w:t>
      </w:r>
      <w:r w:rsidRPr="00390660">
        <w:rPr>
          <w:rFonts w:ascii="Times New Roman" w:eastAsia="Times New Roman" w:hAnsi="Times New Roman" w:cs="Times New Roman"/>
          <w:sz w:val="24"/>
          <w:szCs w:val="24"/>
          <w:lang w:eastAsia="fr-FR"/>
        </w:rPr>
        <w:t xml:space="preserve">dans les mêmes conditions que </w:t>
      </w:r>
      <w:r w:rsidR="00F77F79">
        <w:rPr>
          <w:rFonts w:ascii="Times New Roman" w:eastAsia="Times New Roman" w:hAnsi="Times New Roman" w:cs="Times New Roman"/>
          <w:sz w:val="24"/>
          <w:szCs w:val="24"/>
          <w:lang w:eastAsia="fr-FR"/>
        </w:rPr>
        <w:t xml:space="preserve">lors de </w:t>
      </w:r>
      <w:r w:rsidRPr="00390660">
        <w:rPr>
          <w:rFonts w:ascii="Times New Roman" w:eastAsia="Times New Roman" w:hAnsi="Times New Roman" w:cs="Times New Roman"/>
          <w:sz w:val="24"/>
          <w:szCs w:val="24"/>
          <w:lang w:eastAsia="fr-FR"/>
        </w:rPr>
        <w:t>l’instruction des procédures de police (</w:t>
      </w:r>
      <w:r w:rsidRPr="00390660">
        <w:rPr>
          <w:rFonts w:ascii="Times New Roman" w:eastAsia="Times New Roman" w:hAnsi="Times New Roman" w:cs="Times New Roman"/>
          <w:i/>
          <w:iCs/>
          <w:sz w:val="24"/>
          <w:szCs w:val="24"/>
          <w:lang w:eastAsia="fr-FR"/>
        </w:rPr>
        <w:t xml:space="preserve">limitation horaire et saisine du JLD en cas d’opposition des occupants </w:t>
      </w:r>
      <w:r w:rsidR="0065356B">
        <w:rPr>
          <w:rFonts w:ascii="Times New Roman" w:eastAsia="Times New Roman" w:hAnsi="Times New Roman" w:cs="Times New Roman"/>
          <w:i/>
          <w:iCs/>
          <w:sz w:val="24"/>
          <w:szCs w:val="24"/>
          <w:lang w:eastAsia="fr-FR"/>
        </w:rPr>
        <w:t>-</w:t>
      </w:r>
      <w:r w:rsidRPr="00390660">
        <w:rPr>
          <w:rFonts w:ascii="Times New Roman" w:eastAsia="Times New Roman" w:hAnsi="Times New Roman" w:cs="Times New Roman"/>
          <w:i/>
          <w:iCs/>
          <w:sz w:val="24"/>
          <w:szCs w:val="24"/>
          <w:lang w:eastAsia="fr-FR"/>
        </w:rPr>
        <w:t>locataires en place</w:t>
      </w:r>
      <w:r w:rsidR="0065356B">
        <w:rPr>
          <w:rFonts w:ascii="Times New Roman" w:eastAsia="Times New Roman" w:hAnsi="Times New Roman" w:cs="Times New Roman"/>
          <w:i/>
          <w:iCs/>
          <w:sz w:val="24"/>
          <w:szCs w:val="24"/>
          <w:lang w:eastAsia="fr-FR"/>
        </w:rPr>
        <w:t>-</w:t>
      </w:r>
      <w:r w:rsidRPr="00390660">
        <w:rPr>
          <w:rFonts w:ascii="Times New Roman" w:eastAsia="Times New Roman" w:hAnsi="Times New Roman" w:cs="Times New Roman"/>
          <w:i/>
          <w:iCs/>
          <w:sz w:val="24"/>
          <w:szCs w:val="24"/>
          <w:lang w:eastAsia="fr-FR"/>
        </w:rPr>
        <w:t xml:space="preserve"> ou si la personne habilitée à donner l’accès ne peut être atteinte</w:t>
      </w:r>
      <w:r w:rsidR="0065356B">
        <w:rPr>
          <w:rFonts w:ascii="Times New Roman" w:eastAsia="Times New Roman" w:hAnsi="Times New Roman" w:cs="Times New Roman"/>
          <w:i/>
          <w:iCs/>
          <w:sz w:val="24"/>
          <w:szCs w:val="24"/>
          <w:lang w:eastAsia="fr-FR"/>
        </w:rPr>
        <w:t>: également compétence du JLD</w:t>
      </w:r>
      <w:r w:rsidRPr="00390660">
        <w:rPr>
          <w:rFonts w:ascii="Times New Roman" w:eastAsia="Times New Roman" w:hAnsi="Times New Roman" w:cs="Times New Roman"/>
          <w:sz w:val="24"/>
          <w:szCs w:val="24"/>
          <w:lang w:eastAsia="fr-FR"/>
        </w:rPr>
        <w:t>) (</w:t>
      </w:r>
      <w:proofErr w:type="spellStart"/>
      <w:r w:rsidRPr="00390660">
        <w:rPr>
          <w:rFonts w:ascii="Times New Roman" w:eastAsia="Times New Roman" w:hAnsi="Times New Roman" w:cs="Times New Roman"/>
          <w:sz w:val="24"/>
          <w:szCs w:val="24"/>
          <w:lang w:eastAsia="fr-FR"/>
        </w:rPr>
        <w:t>art.L</w:t>
      </w:r>
      <w:proofErr w:type="spellEnd"/>
      <w:r w:rsidRPr="00390660">
        <w:rPr>
          <w:rFonts w:ascii="Times New Roman" w:eastAsia="Times New Roman" w:hAnsi="Times New Roman" w:cs="Times New Roman"/>
          <w:sz w:val="24"/>
          <w:szCs w:val="24"/>
          <w:lang w:eastAsia="fr-FR"/>
        </w:rPr>
        <w:t xml:space="preserve">.635-3 CCH).  </w:t>
      </w:r>
      <w:r w:rsidR="00F77F79">
        <w:rPr>
          <w:rFonts w:ascii="Times New Roman" w:eastAsia="Times New Roman" w:hAnsi="Times New Roman" w:cs="Times New Roman"/>
          <w:sz w:val="24"/>
          <w:szCs w:val="24"/>
          <w:lang w:eastAsia="fr-FR"/>
        </w:rPr>
        <w:t>U</w:t>
      </w:r>
      <w:r w:rsidRPr="00390660">
        <w:rPr>
          <w:rFonts w:ascii="Times New Roman" w:eastAsia="Times New Roman" w:hAnsi="Times New Roman" w:cs="Times New Roman"/>
          <w:sz w:val="24"/>
          <w:szCs w:val="24"/>
          <w:lang w:eastAsia="fr-FR"/>
        </w:rPr>
        <w:t>n refus du demandeur de laisser procéder à une visite pourrait éventuellement motiver un rejet de sa demande</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00F77F79">
        <w:rPr>
          <w:rFonts w:ascii="Times New Roman" w:eastAsia="Times New Roman" w:hAnsi="Times New Roman" w:cs="Times New Roman"/>
          <w:sz w:val="24"/>
          <w:szCs w:val="24"/>
          <w:lang w:eastAsia="fr-FR"/>
        </w:rPr>
        <w:t xml:space="preserve">ouverture d'une </w:t>
      </w:r>
      <w:r w:rsidRPr="00390660">
        <w:rPr>
          <w:rFonts w:ascii="Times New Roman" w:eastAsia="Times New Roman" w:hAnsi="Times New Roman" w:cs="Times New Roman"/>
          <w:b/>
          <w:sz w:val="24"/>
          <w:szCs w:val="24"/>
          <w:u w:val="single"/>
          <w:lang w:eastAsia="fr-FR"/>
        </w:rPr>
        <w:t>expérimentation</w:t>
      </w:r>
      <w:r w:rsidRPr="00390660">
        <w:rPr>
          <w:rFonts w:ascii="Times New Roman" w:eastAsia="Times New Roman" w:hAnsi="Times New Roman" w:cs="Times New Roman"/>
          <w:sz w:val="24"/>
          <w:szCs w:val="24"/>
          <w:u w:val="single"/>
          <w:lang w:eastAsia="fr-FR"/>
        </w:rPr>
        <w:t xml:space="preserve"> pour l’instruction de l’APML dans les cas de colocations formalisée</w:t>
      </w:r>
      <w:r w:rsidR="00F77F79">
        <w:rPr>
          <w:rFonts w:ascii="Times New Roman" w:eastAsia="Times New Roman" w:hAnsi="Times New Roman" w:cs="Times New Roman"/>
          <w:sz w:val="24"/>
          <w:szCs w:val="24"/>
          <w:u w:val="single"/>
          <w:lang w:eastAsia="fr-FR"/>
        </w:rPr>
        <w:t>s</w:t>
      </w:r>
      <w:r w:rsidRPr="00390660">
        <w:rPr>
          <w:rFonts w:ascii="Times New Roman" w:eastAsia="Times New Roman" w:hAnsi="Times New Roman" w:cs="Times New Roman"/>
          <w:sz w:val="24"/>
          <w:szCs w:val="24"/>
          <w:u w:val="single"/>
          <w:lang w:eastAsia="fr-FR"/>
        </w:rPr>
        <w:t xml:space="preserve"> par contrats multiples</w:t>
      </w:r>
      <w:r w:rsidRPr="00390660">
        <w:rPr>
          <w:rFonts w:ascii="Times New Roman" w:eastAsia="Times New Roman" w:hAnsi="Times New Roman" w:cs="Times New Roman"/>
          <w:sz w:val="24"/>
          <w:szCs w:val="24"/>
          <w:lang w:eastAsia="fr-FR"/>
        </w:rPr>
        <w:t xml:space="preserve"> : la demande peut être rejetée s’il ressort de l’instruction qu’il n’est pas garanti aux occupants des conditions de vie digne, </w:t>
      </w:r>
      <w:r w:rsidRPr="00390660">
        <w:rPr>
          <w:rFonts w:ascii="Times New Roman" w:eastAsia="Times New Roman" w:hAnsi="Times New Roman" w:cs="Times New Roman"/>
          <w:sz w:val="24"/>
          <w:szCs w:val="24"/>
          <w:u w:val="single"/>
          <w:lang w:eastAsia="fr-FR"/>
        </w:rPr>
        <w:t xml:space="preserve">quand bien même les normes de décences seraient </w:t>
      </w:r>
      <w:r w:rsidR="00F77F79" w:rsidRPr="00390660">
        <w:rPr>
          <w:rFonts w:ascii="Times New Roman" w:eastAsia="Times New Roman" w:hAnsi="Times New Roman" w:cs="Times New Roman"/>
          <w:sz w:val="24"/>
          <w:szCs w:val="24"/>
          <w:u w:val="single"/>
          <w:lang w:eastAsia="fr-FR"/>
        </w:rPr>
        <w:t>respectées.</w:t>
      </w:r>
      <w:r w:rsidR="00F77F79" w:rsidRPr="00390660">
        <w:rPr>
          <w:rFonts w:ascii="Times New Roman" w:eastAsia="Times New Roman" w:hAnsi="Times New Roman" w:cs="Times New Roman"/>
          <w:sz w:val="24"/>
          <w:szCs w:val="24"/>
          <w:lang w:eastAsia="fr-FR"/>
        </w:rPr>
        <w:t xml:space="preserve"> À</w:t>
      </w:r>
      <w:r w:rsidRPr="00390660">
        <w:rPr>
          <w:rFonts w:ascii="Times New Roman" w:eastAsia="Times New Roman" w:hAnsi="Times New Roman" w:cs="Times New Roman"/>
          <w:sz w:val="24"/>
          <w:szCs w:val="24"/>
          <w:lang w:eastAsia="fr-FR"/>
        </w:rPr>
        <w:t xml:space="preserve"> pouvoir d’appréciation étendu, notamment sur le critère de surface (art. 33 de la loi)</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u w:val="single"/>
          <w:lang w:eastAsia="fr-FR"/>
        </w:rPr>
        <w:t>régime de l’amende :</w:t>
      </w:r>
      <w:r w:rsidRPr="00390660">
        <w:rPr>
          <w:rFonts w:ascii="Times New Roman" w:eastAsia="Times New Roman" w:hAnsi="Times New Roman" w:cs="Times New Roman"/>
          <w:sz w:val="24"/>
          <w:szCs w:val="24"/>
          <w:lang w:eastAsia="fr-FR"/>
        </w:rPr>
        <w:t xml:space="preserve"> désormais, les amendes sont prononcées par l’autorité compétente au titre du permis de louer (</w:t>
      </w:r>
      <w:r w:rsidRPr="00390660">
        <w:rPr>
          <w:rFonts w:ascii="Times New Roman" w:eastAsia="Times New Roman" w:hAnsi="Times New Roman" w:cs="Times New Roman"/>
          <w:i/>
          <w:iCs/>
          <w:sz w:val="24"/>
          <w:szCs w:val="24"/>
          <w:lang w:eastAsia="fr-FR"/>
        </w:rPr>
        <w:t>après une phase contradictoire</w:t>
      </w:r>
      <w:r w:rsidR="00F77F79">
        <w:rPr>
          <w:rFonts w:ascii="Times New Roman" w:eastAsia="Times New Roman" w:hAnsi="Times New Roman" w:cs="Times New Roman"/>
          <w:sz w:val="24"/>
          <w:szCs w:val="24"/>
          <w:lang w:eastAsia="fr-FR"/>
        </w:rPr>
        <w:t>)</w:t>
      </w:r>
      <w:r w:rsidRPr="00390660">
        <w:rPr>
          <w:rFonts w:ascii="Times New Roman" w:eastAsia="Times New Roman" w:hAnsi="Times New Roman" w:cs="Times New Roman"/>
          <w:sz w:val="24"/>
          <w:szCs w:val="24"/>
          <w:lang w:eastAsia="fr-FR"/>
        </w:rPr>
        <w:t xml:space="preserve"> </w:t>
      </w:r>
      <w:r w:rsidR="00F77F79">
        <w:rPr>
          <w:rFonts w:ascii="Times New Roman" w:eastAsia="Times New Roman" w:hAnsi="Times New Roman" w:cs="Times New Roman"/>
          <w:sz w:val="24"/>
          <w:szCs w:val="24"/>
          <w:lang w:eastAsia="fr-FR"/>
        </w:rPr>
        <w:t xml:space="preserve">et </w:t>
      </w:r>
      <w:r w:rsidRPr="00390660">
        <w:rPr>
          <w:rFonts w:ascii="Times New Roman" w:eastAsia="Times New Roman" w:hAnsi="Times New Roman" w:cs="Times New Roman"/>
          <w:sz w:val="24"/>
          <w:szCs w:val="24"/>
          <w:lang w:eastAsia="fr-FR"/>
        </w:rPr>
        <w:t>non plus par le préfet ; le produit de l’amende reviendra à la collectivité compétente (art. L. 634-4, L. 635-7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u w:val="single"/>
          <w:lang w:eastAsia="fr-FR"/>
        </w:rPr>
        <w:t>II. 2. Le permis de diviser</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Délai d’instruction porté de 15 jours à un mois (L.126-20 CCH)</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w:t>
      </w:r>
      <w:r w:rsidRPr="00390660">
        <w:rPr>
          <w:rFonts w:ascii="Times New Roman" w:eastAsia="Times New Roman" w:hAnsi="Times New Roman" w:cs="Times New Roman"/>
          <w:b/>
          <w:bCs/>
          <w:sz w:val="24"/>
          <w:szCs w:val="24"/>
          <w:lang w:eastAsia="fr-FR"/>
        </w:rPr>
        <w:t>III.</w:t>
      </w:r>
      <w:r w:rsidR="00F77F79">
        <w:rPr>
          <w:rFonts w:ascii="Times New Roman" w:eastAsia="Times New Roman" w:hAnsi="Times New Roman" w:cs="Times New Roman"/>
          <w:b/>
          <w:bCs/>
          <w:sz w:val="24"/>
          <w:szCs w:val="24"/>
          <w:lang w:eastAsia="fr-FR"/>
        </w:rPr>
        <w:t> </w:t>
      </w: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La lutte contre les marchands de sommeil </w:t>
      </w:r>
    </w:p>
    <w:p w:rsid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lastRenderedPageBreak/>
        <w:t>- Durcissement du quantum des peines pour l’infraction de soumission d’une personne vulnérable ou dans un état de dépendance, à des conditions d'hébergement incompatibles avec la dignité humaine (art. 225-14 du code pénal)</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w:t>
      </w:r>
      <w:r w:rsidR="00F77F79">
        <w:rPr>
          <w:rFonts w:ascii="Times New Roman" w:eastAsia="Times New Roman" w:hAnsi="Times New Roman" w:cs="Times New Roman"/>
          <w:b/>
          <w:bCs/>
          <w:sz w:val="24"/>
          <w:szCs w:val="24"/>
          <w:lang w:eastAsia="fr-FR"/>
        </w:rPr>
        <w:t>IV. </w:t>
      </w:r>
      <w:r w:rsidRPr="00390660">
        <w:rPr>
          <w:rFonts w:ascii="Times New Roman" w:eastAsia="Times New Roman" w:hAnsi="Times New Roman" w:cs="Times New Roman"/>
          <w:b/>
          <w:bCs/>
          <w:sz w:val="24"/>
          <w:szCs w:val="24"/>
          <w:lang w:eastAsia="fr-FR"/>
        </w:rPr>
        <w:t xml:space="preserve"> </w:t>
      </w:r>
      <w:r w:rsidRPr="00390660">
        <w:rPr>
          <w:rFonts w:ascii="Times New Roman" w:eastAsia="Times New Roman" w:hAnsi="Times New Roman" w:cs="Times New Roman"/>
          <w:b/>
          <w:bCs/>
          <w:sz w:val="24"/>
          <w:szCs w:val="24"/>
          <w:u w:val="single"/>
          <w:lang w:eastAsia="fr-FR"/>
        </w:rPr>
        <w:t>Les opérations d’aménagement / outils de maîtrise foncière</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u w:val="single"/>
          <w:lang w:eastAsia="fr-FR"/>
        </w:rPr>
        <w:t xml:space="preserve"> IV. 1. Les </w:t>
      </w:r>
      <w:r w:rsidR="00F77F79">
        <w:rPr>
          <w:rFonts w:ascii="Times New Roman" w:eastAsia="Times New Roman" w:hAnsi="Times New Roman" w:cs="Times New Roman"/>
          <w:b/>
          <w:bCs/>
          <w:sz w:val="24"/>
          <w:szCs w:val="24"/>
          <w:u w:val="single"/>
          <w:lang w:eastAsia="fr-FR"/>
        </w:rPr>
        <w:t>opérations de restauration immobilière (</w:t>
      </w:r>
      <w:r w:rsidRPr="00390660">
        <w:rPr>
          <w:rFonts w:ascii="Times New Roman" w:eastAsia="Times New Roman" w:hAnsi="Times New Roman" w:cs="Times New Roman"/>
          <w:b/>
          <w:bCs/>
          <w:sz w:val="24"/>
          <w:szCs w:val="24"/>
          <w:u w:val="single"/>
          <w:lang w:eastAsia="fr-FR"/>
        </w:rPr>
        <w:t>ORI</w:t>
      </w:r>
      <w:r w:rsidR="00F77F79">
        <w:rPr>
          <w:rFonts w:ascii="Times New Roman" w:eastAsia="Times New Roman" w:hAnsi="Times New Roman" w:cs="Times New Roman"/>
          <w:b/>
          <w:bCs/>
          <w:sz w:val="24"/>
          <w:szCs w:val="24"/>
          <w:u w:val="single"/>
          <w:lang w:eastAsia="fr-FR"/>
        </w:rPr>
        <w:t>)</w:t>
      </w:r>
    </w:p>
    <w:p w:rsidR="00F77F79" w:rsidRDefault="00F77F79" w:rsidP="0039066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390660" w:rsidRPr="00390660">
        <w:rPr>
          <w:rFonts w:ascii="Times New Roman" w:eastAsia="Times New Roman" w:hAnsi="Times New Roman" w:cs="Times New Roman"/>
          <w:sz w:val="24"/>
          <w:szCs w:val="24"/>
          <w:lang w:eastAsia="fr-FR"/>
        </w:rPr>
        <w:t xml:space="preserve">xtension explicite de l’objet des ORI : </w:t>
      </w:r>
    </w:p>
    <w:p w:rsidR="00390660" w:rsidRDefault="00F77F79" w:rsidP="00F77F79">
      <w:pPr>
        <w:pStyle w:val="Paragraphedeliste"/>
        <w:numPr>
          <w:ilvl w:val="0"/>
          <w:numId w:val="1"/>
        </w:numPr>
      </w:pPr>
      <w:r>
        <w:t>a</w:t>
      </w:r>
      <w:r w:rsidR="00390660" w:rsidRPr="00F77F79">
        <w:t>ux travaux ayant pour objet /effet la rénovation énergétique, d'améliorer la performance éner</w:t>
      </w:r>
      <w:r>
        <w:t>gétique des immeubles concernés</w:t>
      </w:r>
      <w:r w:rsidR="00390660" w:rsidRPr="00F77F79">
        <w:t xml:space="preserve">; </w:t>
      </w:r>
    </w:p>
    <w:p w:rsidR="00390660" w:rsidRPr="00F77F79" w:rsidRDefault="00F77F79" w:rsidP="00390660">
      <w:pPr>
        <w:pStyle w:val="Paragraphedeliste"/>
        <w:numPr>
          <w:ilvl w:val="0"/>
          <w:numId w:val="1"/>
        </w:numPr>
      </w:pPr>
      <w:r>
        <w:t>a</w:t>
      </w:r>
      <w:r w:rsidR="00390660" w:rsidRPr="00F77F79">
        <w:t>ux travaux ayant pour objet / effet de garantir la salubrité, l'intégrité ou l'habitabilité des immeubles concernés / la sécurité des personnes</w:t>
      </w:r>
    </w:p>
    <w:p w:rsidR="00390660" w:rsidRPr="00390660" w:rsidRDefault="00390660" w:rsidP="00F77F79">
      <w:pPr>
        <w:spacing w:before="100" w:beforeAutospacing="1" w:after="100" w:afterAutospacing="1" w:line="240" w:lineRule="auto"/>
        <w:ind w:left="709"/>
        <w:rPr>
          <w:rFonts w:ascii="Times New Roman" w:eastAsia="Times New Roman" w:hAnsi="Times New Roman" w:cs="Times New Roman"/>
          <w:sz w:val="24"/>
          <w:szCs w:val="24"/>
          <w:lang w:eastAsia="fr-FR"/>
        </w:rPr>
      </w:pPr>
      <w:r w:rsidRPr="00390660">
        <w:rPr>
          <w:rFonts w:ascii="Times New Roman" w:eastAsia="Times New Roman" w:hAnsi="Times New Roman" w:cs="Times New Roman"/>
          <w:i/>
          <w:iCs/>
          <w:sz w:val="24"/>
          <w:szCs w:val="24"/>
          <w:lang w:eastAsia="fr-FR"/>
        </w:rPr>
        <w:t>Dans les faits, ces objets pouvaient déjà être intégrés aux programmes de travaux déclarés d’utilité publique sans difficulté particulière.</w:t>
      </w:r>
    </w:p>
    <w:p w:rsidR="00390660" w:rsidRPr="00F77F79" w:rsidRDefault="00390660" w:rsidP="00F77F79">
      <w:pPr>
        <w:pStyle w:val="Paragraphedeliste"/>
        <w:numPr>
          <w:ilvl w:val="0"/>
          <w:numId w:val="1"/>
        </w:numPr>
        <w:rPr>
          <w:i/>
        </w:rPr>
      </w:pPr>
      <w:r w:rsidRPr="00F77F79">
        <w:t>Aux travaux d'accès pour les services de secour</w:t>
      </w:r>
      <w:r w:rsidR="00F77F79">
        <w:t xml:space="preserve">s et d'issues pour l'évacuation </w:t>
      </w:r>
      <w:r w:rsidR="00F77F79" w:rsidRPr="00F77F79">
        <w:rPr>
          <w:i/>
        </w:rPr>
        <w:t>(ce qui était déjà prévu)</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w:t>
      </w:r>
      <w:r w:rsidRPr="00390660">
        <w:rPr>
          <w:rFonts w:ascii="Times New Roman" w:eastAsia="Times New Roman" w:hAnsi="Times New Roman" w:cs="Times New Roman"/>
          <w:b/>
          <w:bCs/>
          <w:sz w:val="24"/>
          <w:szCs w:val="24"/>
          <w:u w:val="single"/>
          <w:lang w:eastAsia="fr-FR"/>
        </w:rPr>
        <w:t>IV. 2. L</w:t>
      </w:r>
      <w:r w:rsidR="00F100DB">
        <w:rPr>
          <w:rFonts w:ascii="Times New Roman" w:eastAsia="Times New Roman" w:hAnsi="Times New Roman" w:cs="Times New Roman"/>
          <w:b/>
          <w:bCs/>
          <w:sz w:val="24"/>
          <w:szCs w:val="24"/>
          <w:u w:val="single"/>
          <w:lang w:eastAsia="fr-FR"/>
        </w:rPr>
        <w:t xml:space="preserve">'expropriation en "loi </w:t>
      </w:r>
      <w:r w:rsidRPr="00390660">
        <w:rPr>
          <w:rFonts w:ascii="Times New Roman" w:eastAsia="Times New Roman" w:hAnsi="Times New Roman" w:cs="Times New Roman"/>
          <w:b/>
          <w:bCs/>
          <w:sz w:val="24"/>
          <w:szCs w:val="24"/>
          <w:u w:val="single"/>
          <w:lang w:eastAsia="fr-FR"/>
        </w:rPr>
        <w:t>Vivien</w:t>
      </w:r>
      <w:r w:rsidR="00F100DB">
        <w:rPr>
          <w:rFonts w:ascii="Times New Roman" w:eastAsia="Times New Roman" w:hAnsi="Times New Roman" w:cs="Times New Roman"/>
          <w:b/>
          <w:bCs/>
          <w:sz w:val="24"/>
          <w:szCs w:val="24"/>
          <w:u w:val="single"/>
          <w:lang w:eastAsia="fr-FR"/>
        </w:rPr>
        <w:t>"</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extension du champ d’application aux immeubles touchés par une interdictio</w:t>
      </w:r>
      <w:r w:rsidR="00F100DB">
        <w:rPr>
          <w:rFonts w:ascii="Times New Roman" w:eastAsia="Times New Roman" w:hAnsi="Times New Roman" w:cs="Times New Roman"/>
          <w:sz w:val="24"/>
          <w:szCs w:val="24"/>
          <w:lang w:eastAsia="fr-FR"/>
        </w:rPr>
        <w:t>n définitive "</w:t>
      </w:r>
      <w:r w:rsidRPr="00390660">
        <w:rPr>
          <w:rFonts w:ascii="Times New Roman" w:eastAsia="Times New Roman" w:hAnsi="Times New Roman" w:cs="Times New Roman"/>
          <w:sz w:val="24"/>
          <w:szCs w:val="24"/>
          <w:lang w:eastAsia="fr-FR"/>
        </w:rPr>
        <w:t>d’utiliser</w:t>
      </w:r>
      <w:r w:rsidR="00F100DB">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sz w:val="24"/>
          <w:szCs w:val="24"/>
          <w:lang w:eastAsia="fr-FR"/>
        </w:rPr>
        <w:t xml:space="preserve"> et non plus seulement une </w:t>
      </w:r>
      <w:r w:rsidR="00F100DB">
        <w:rPr>
          <w:rFonts w:ascii="Times New Roman" w:eastAsia="Times New Roman" w:hAnsi="Times New Roman" w:cs="Times New Roman"/>
          <w:sz w:val="24"/>
          <w:szCs w:val="24"/>
          <w:lang w:eastAsia="fr-FR"/>
        </w:rPr>
        <w:t xml:space="preserve">interdiction définitive d'habiter : </w:t>
      </w:r>
      <w:r w:rsidRPr="00390660">
        <w:rPr>
          <w:rFonts w:ascii="Times New Roman" w:eastAsia="Times New Roman" w:hAnsi="Times New Roman" w:cs="Times New Roman"/>
          <w:sz w:val="24"/>
          <w:szCs w:val="24"/>
          <w:lang w:eastAsia="fr-FR"/>
        </w:rPr>
        <w:t>cela permet d’inclure les locaux professionnels/commerciaux</w:t>
      </w:r>
      <w:r w:rsidR="00F100DB">
        <w:rPr>
          <w:rFonts w:ascii="Times New Roman" w:eastAsia="Times New Roman" w:hAnsi="Times New Roman" w:cs="Times New Roman"/>
          <w:sz w:val="24"/>
          <w:szCs w:val="24"/>
          <w:lang w:eastAsia="fr-FR"/>
        </w:rPr>
        <w:t>;</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la valeur des locaux interdits d’utilisation est également appréciée selon le principe de la </w:t>
      </w:r>
      <w:r w:rsidR="00F100DB">
        <w:rPr>
          <w:rFonts w:ascii="Times New Roman" w:eastAsia="Times New Roman" w:hAnsi="Times New Roman" w:cs="Times New Roman"/>
          <w:sz w:val="24"/>
          <w:szCs w:val="24"/>
          <w:lang w:eastAsia="fr-FR"/>
        </w:rPr>
        <w:t>"</w:t>
      </w:r>
      <w:r w:rsidRPr="00390660">
        <w:rPr>
          <w:rFonts w:ascii="Times New Roman" w:eastAsia="Times New Roman" w:hAnsi="Times New Roman" w:cs="Times New Roman"/>
          <w:sz w:val="24"/>
          <w:szCs w:val="24"/>
          <w:lang w:eastAsia="fr-FR"/>
        </w:rPr>
        <w:t>récupération foncière</w:t>
      </w:r>
      <w:r w:rsidR="00F100DB">
        <w:rPr>
          <w:rFonts w:ascii="Times New Roman" w:eastAsia="Times New Roman" w:hAnsi="Times New Roman" w:cs="Times New Roman"/>
          <w:sz w:val="24"/>
          <w:szCs w:val="24"/>
          <w:lang w:eastAsia="fr-FR"/>
        </w:rPr>
        <w:t>"</w:t>
      </w:r>
      <w:r w:rsidRPr="00390660">
        <w:rPr>
          <w:rFonts w:ascii="Times New Roman" w:eastAsia="Times New Roman" w:hAnsi="Times New Roman" w:cs="Times New Roman"/>
          <w:sz w:val="24"/>
          <w:szCs w:val="24"/>
          <w:lang w:eastAsia="fr-FR"/>
        </w:rPr>
        <w:t xml:space="preserve"> (locaux non destinés à l’habitation)</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extension du champ d’application de la DUP Vivien en lien avec l’évolution des modalités d’évaluation du coût des travaux justifiant une IH définitive ou prescription de démolition – voir </w:t>
      </w:r>
      <w:r w:rsidRPr="00390660">
        <w:rPr>
          <w:rFonts w:ascii="Times New Roman" w:eastAsia="Times New Roman" w:hAnsi="Times New Roman" w:cs="Times New Roman"/>
          <w:i/>
          <w:iCs/>
          <w:sz w:val="24"/>
          <w:szCs w:val="24"/>
          <w:lang w:eastAsia="fr-FR"/>
        </w:rPr>
        <w:t>supra</w:t>
      </w:r>
      <w:r w:rsidRPr="00390660">
        <w:rPr>
          <w:rFonts w:ascii="Times New Roman" w:eastAsia="Times New Roman" w:hAnsi="Times New Roman" w:cs="Times New Roman"/>
          <w:sz w:val="24"/>
          <w:szCs w:val="24"/>
          <w:lang w:eastAsia="fr-FR"/>
        </w:rPr>
        <w:t xml:space="preserve">, I. sur la police spéciale de l’habitat (cf. art L511-11 CCH)  </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b/>
          <w:bCs/>
          <w:sz w:val="24"/>
          <w:szCs w:val="24"/>
          <w:u w:val="single"/>
          <w:lang w:eastAsia="fr-FR"/>
        </w:rPr>
        <w:t>IV.3 Nouvelle procédure d’expropriation des immeubles en état d’insalubrité / insécurité remédiable (art L 512-1 à L 512-6)</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w:t>
      </w:r>
      <w:r w:rsidRPr="00390660">
        <w:rPr>
          <w:rFonts w:ascii="Times New Roman" w:eastAsia="Times New Roman" w:hAnsi="Times New Roman" w:cs="Times New Roman"/>
          <w:b/>
          <w:bCs/>
          <w:sz w:val="24"/>
          <w:szCs w:val="24"/>
          <w:u w:val="single"/>
          <w:lang w:eastAsia="fr-FR"/>
        </w:rPr>
        <w:t>procédure simplifiée d’expropriation sur le modèle de la DUP Vivien des immeubles visés par des prescriptions de travaux</w:t>
      </w:r>
    </w:p>
    <w:p w:rsidR="00F100DB" w:rsidRDefault="00F100DB" w:rsidP="0039066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Sous </w:t>
      </w:r>
      <w:r w:rsidR="00390660" w:rsidRPr="00390660">
        <w:rPr>
          <w:rFonts w:ascii="Times New Roman" w:eastAsia="Times New Roman" w:hAnsi="Times New Roman" w:cs="Times New Roman"/>
          <w:sz w:val="24"/>
          <w:szCs w:val="24"/>
          <w:lang w:eastAsia="fr-FR"/>
        </w:rPr>
        <w:t xml:space="preserve">3 conditions : </w:t>
      </w:r>
    </w:p>
    <w:p w:rsidR="00F100DB"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1) immeuble visé par au moins 2 arrêtés de police non entièrement exécutés ou ayant nécessité une intervention d’office </w:t>
      </w:r>
    </w:p>
    <w:p w:rsidR="00F100DB"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2) nécessité de mesures de remise en état</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xml:space="preserve"> 3) mise en place d’un plan de relogement ou d'hébergement si l’immeuble est à usage d’habitation, occupé et qu’une </w:t>
      </w:r>
      <w:r w:rsidR="00F100DB">
        <w:rPr>
          <w:rFonts w:ascii="Times New Roman" w:eastAsia="Times New Roman" w:hAnsi="Times New Roman" w:cs="Times New Roman"/>
          <w:sz w:val="24"/>
          <w:szCs w:val="24"/>
          <w:lang w:eastAsia="fr-FR"/>
        </w:rPr>
        <w:t xml:space="preserve">interdiction temporaire d'habiter </w:t>
      </w:r>
      <w:r w:rsidRPr="00390660">
        <w:rPr>
          <w:rFonts w:ascii="Times New Roman" w:eastAsia="Times New Roman" w:hAnsi="Times New Roman" w:cs="Times New Roman"/>
          <w:sz w:val="24"/>
          <w:szCs w:val="24"/>
          <w:lang w:eastAsia="fr-FR"/>
        </w:rPr>
        <w:t xml:space="preserve">est justifiée (nouvelle </w:t>
      </w:r>
      <w:r w:rsidR="00F100DB" w:rsidRPr="00390660">
        <w:rPr>
          <w:rFonts w:ascii="Times New Roman" w:eastAsia="Times New Roman" w:hAnsi="Times New Roman" w:cs="Times New Roman"/>
          <w:sz w:val="24"/>
          <w:szCs w:val="24"/>
          <w:lang w:eastAsia="fr-FR"/>
        </w:rPr>
        <w:t>procédure</w:t>
      </w:r>
      <w:r w:rsidRPr="00390660">
        <w:rPr>
          <w:rFonts w:ascii="Times New Roman" w:eastAsia="Times New Roman" w:hAnsi="Times New Roman" w:cs="Times New Roman"/>
          <w:sz w:val="24"/>
          <w:szCs w:val="24"/>
          <w:lang w:eastAsia="fr-FR"/>
        </w:rPr>
        <w:t xml:space="preserve"> codifiée </w:t>
      </w:r>
      <w:proofErr w:type="gramStart"/>
      <w:r w:rsidRPr="00390660">
        <w:rPr>
          <w:rFonts w:ascii="Times New Roman" w:eastAsia="Times New Roman" w:hAnsi="Times New Roman" w:cs="Times New Roman"/>
          <w:sz w:val="24"/>
          <w:szCs w:val="24"/>
          <w:lang w:eastAsia="fr-FR"/>
        </w:rPr>
        <w:t>aux art</w:t>
      </w:r>
      <w:proofErr w:type="gramEnd"/>
      <w:r w:rsidRPr="00390660">
        <w:rPr>
          <w:rFonts w:ascii="Times New Roman" w:eastAsia="Times New Roman" w:hAnsi="Times New Roman" w:cs="Times New Roman"/>
          <w:sz w:val="24"/>
          <w:szCs w:val="24"/>
          <w:lang w:eastAsia="fr-FR"/>
        </w:rPr>
        <w:t>. L512-1 et s du code de l’expropriation)</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lastRenderedPageBreak/>
        <w:t> </w:t>
      </w:r>
      <w:r w:rsidRPr="00390660">
        <w:rPr>
          <w:rFonts w:ascii="Times New Roman" w:eastAsia="Times New Roman" w:hAnsi="Times New Roman" w:cs="Times New Roman"/>
          <w:b/>
          <w:bCs/>
          <w:sz w:val="24"/>
          <w:szCs w:val="24"/>
          <w:u w:val="single"/>
          <w:lang w:eastAsia="fr-FR"/>
        </w:rPr>
        <w:t xml:space="preserve">IV.4 Le cas des copropriétés </w:t>
      </w:r>
      <w:r w:rsidR="00F100DB">
        <w:rPr>
          <w:rFonts w:ascii="Times New Roman" w:eastAsia="Times New Roman" w:hAnsi="Times New Roman" w:cs="Times New Roman"/>
          <w:b/>
          <w:bCs/>
          <w:sz w:val="24"/>
          <w:szCs w:val="24"/>
          <w:u w:val="single"/>
          <w:lang w:eastAsia="fr-FR"/>
        </w:rPr>
        <w:t>"</w:t>
      </w:r>
      <w:r w:rsidRPr="00390660">
        <w:rPr>
          <w:rFonts w:ascii="Times New Roman" w:eastAsia="Times New Roman" w:hAnsi="Times New Roman" w:cs="Times New Roman"/>
          <w:b/>
          <w:bCs/>
          <w:sz w:val="24"/>
          <w:szCs w:val="24"/>
          <w:u w:val="single"/>
          <w:lang w:eastAsia="fr-FR"/>
        </w:rPr>
        <w:t>dégradées</w:t>
      </w:r>
      <w:r w:rsidR="00F100DB">
        <w:rPr>
          <w:rFonts w:ascii="Times New Roman" w:eastAsia="Times New Roman" w:hAnsi="Times New Roman" w:cs="Times New Roman"/>
          <w:b/>
          <w:bCs/>
          <w:sz w:val="24"/>
          <w:szCs w:val="24"/>
          <w:u w:val="single"/>
          <w:lang w:eastAsia="fr-FR"/>
        </w:rPr>
        <w:t>"</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création d’un nouveau régime de concession pour le traitement des copropriétés dégradées (art. L.300-10 C.urb.)</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expérimentation introduite par la Loi ALUR permettant à l’</w:t>
      </w:r>
      <w:proofErr w:type="spellStart"/>
      <w:r w:rsidRPr="00390660">
        <w:rPr>
          <w:rFonts w:ascii="Times New Roman" w:eastAsia="Times New Roman" w:hAnsi="Times New Roman" w:cs="Times New Roman"/>
          <w:sz w:val="24"/>
          <w:szCs w:val="24"/>
          <w:lang w:eastAsia="fr-FR"/>
        </w:rPr>
        <w:t>Etat</w:t>
      </w:r>
      <w:proofErr w:type="spellEnd"/>
      <w:r w:rsidRPr="00390660">
        <w:rPr>
          <w:rFonts w:ascii="Times New Roman" w:eastAsia="Times New Roman" w:hAnsi="Times New Roman" w:cs="Times New Roman"/>
          <w:sz w:val="24"/>
          <w:szCs w:val="24"/>
          <w:lang w:eastAsia="fr-FR"/>
        </w:rPr>
        <w:t xml:space="preserve"> / une collectivité d’exproprier des parties communes d’un immeuble en copropriété prolongée de 10 années (L.242-1 </w:t>
      </w:r>
      <w:proofErr w:type="spellStart"/>
      <w:r w:rsidRPr="00390660">
        <w:rPr>
          <w:rFonts w:ascii="Times New Roman" w:eastAsia="Times New Roman" w:hAnsi="Times New Roman" w:cs="Times New Roman"/>
          <w:sz w:val="24"/>
          <w:szCs w:val="24"/>
          <w:lang w:eastAsia="fr-FR"/>
        </w:rPr>
        <w:t>C.expr</w:t>
      </w:r>
      <w:proofErr w:type="spellEnd"/>
      <w:r w:rsidRPr="00390660">
        <w:rPr>
          <w:rFonts w:ascii="Times New Roman" w:eastAsia="Times New Roman" w:hAnsi="Times New Roman" w:cs="Times New Roman"/>
          <w:sz w:val="24"/>
          <w:szCs w:val="24"/>
          <w:lang w:eastAsia="fr-FR"/>
        </w:rPr>
        <w:t>.)</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expérimentation pour 10 ans d’un conventionnement permettant à un opérateur habilité par l’</w:t>
      </w:r>
      <w:proofErr w:type="spellStart"/>
      <w:r w:rsidRPr="00390660">
        <w:rPr>
          <w:rFonts w:ascii="Times New Roman" w:eastAsia="Times New Roman" w:hAnsi="Times New Roman" w:cs="Times New Roman"/>
          <w:sz w:val="24"/>
          <w:szCs w:val="24"/>
          <w:lang w:eastAsia="fr-FR"/>
        </w:rPr>
        <w:t>Etat</w:t>
      </w:r>
      <w:proofErr w:type="spellEnd"/>
      <w:r w:rsidRPr="00390660">
        <w:rPr>
          <w:rFonts w:ascii="Times New Roman" w:eastAsia="Times New Roman" w:hAnsi="Times New Roman" w:cs="Times New Roman"/>
          <w:sz w:val="24"/>
          <w:szCs w:val="24"/>
          <w:lang w:eastAsia="fr-FR"/>
        </w:rPr>
        <w:t xml:space="preserve"> /une collectivité de faire l’acquisition temporaire du terrain d’assiette ou des parties communes/équipements communs d’une copropriété en vue de leur rénovation (art. 11 de la loi)</w:t>
      </w:r>
    </w:p>
    <w:p w:rsidR="00390660" w:rsidRPr="00390660" w:rsidRDefault="00390660" w:rsidP="00390660">
      <w:pPr>
        <w:spacing w:before="100" w:beforeAutospacing="1" w:after="100" w:afterAutospacing="1" w:line="240" w:lineRule="auto"/>
        <w:rPr>
          <w:rFonts w:ascii="Times New Roman" w:eastAsia="Times New Roman" w:hAnsi="Times New Roman" w:cs="Times New Roman"/>
          <w:sz w:val="24"/>
          <w:szCs w:val="24"/>
          <w:lang w:eastAsia="fr-FR"/>
        </w:rPr>
      </w:pPr>
      <w:r w:rsidRPr="00390660">
        <w:rPr>
          <w:rFonts w:ascii="Times New Roman" w:eastAsia="Times New Roman" w:hAnsi="Times New Roman" w:cs="Times New Roman"/>
          <w:sz w:val="24"/>
          <w:szCs w:val="24"/>
          <w:lang w:eastAsia="fr-FR"/>
        </w:rPr>
        <w:t> </w:t>
      </w:r>
      <w:r w:rsidRPr="00390660">
        <w:rPr>
          <w:rFonts w:ascii="Times New Roman" w:eastAsia="Times New Roman" w:hAnsi="Times New Roman" w:cs="Times New Roman"/>
          <w:sz w:val="24"/>
          <w:szCs w:val="24"/>
          <w:u w:val="single"/>
          <w:lang w:eastAsia="fr-FR"/>
        </w:rPr>
        <w:t>La Loi du 10 juillet 1965 est par ailleurs modifiée en différents points concernant la gouvernance des copropriétés et le recouvrement des charges.</w:t>
      </w:r>
    </w:p>
    <w:p w:rsidR="00BD12BA" w:rsidRDefault="00BD12BA"/>
    <w:sectPr w:rsidR="00BD12BA" w:rsidSect="00BD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B2B1E"/>
    <w:multiLevelType w:val="hybridMultilevel"/>
    <w:tmpl w:val="945E41DA"/>
    <w:lvl w:ilvl="0" w:tplc="014AB7A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660"/>
    <w:rsid w:val="00083215"/>
    <w:rsid w:val="000D63E4"/>
    <w:rsid w:val="002031BB"/>
    <w:rsid w:val="00390660"/>
    <w:rsid w:val="005B6C88"/>
    <w:rsid w:val="0065356B"/>
    <w:rsid w:val="00AD4174"/>
    <w:rsid w:val="00BD12BA"/>
    <w:rsid w:val="00F100DB"/>
    <w:rsid w:val="00F77F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066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052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3</cp:revision>
  <dcterms:created xsi:type="dcterms:W3CDTF">2024-04-17T13:49:00Z</dcterms:created>
  <dcterms:modified xsi:type="dcterms:W3CDTF">2024-04-17T18:14:00Z</dcterms:modified>
</cp:coreProperties>
</file>