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2A2" w:rsidRPr="006862A2" w:rsidRDefault="006862A2" w:rsidP="006862A2">
      <w:pPr>
        <w:shd w:val="clear" w:color="auto" w:fill="0C7B38"/>
        <w:spacing w:before="100" w:beforeAutospacing="1" w:after="100" w:afterAutospacing="1" w:line="240" w:lineRule="auto"/>
        <w:jc w:val="center"/>
        <w:outlineLvl w:val="0"/>
        <w:rPr>
          <w:rFonts w:ascii="Arial" w:eastAsia="Times New Roman" w:hAnsi="Arial" w:cs="Arial"/>
          <w:b/>
          <w:bCs/>
          <w:caps/>
          <w:strike/>
          <w:color w:val="FFFFFF"/>
          <w:kern w:val="36"/>
          <w:sz w:val="48"/>
          <w:szCs w:val="48"/>
          <w:lang w:eastAsia="fr-FR"/>
        </w:rPr>
      </w:pPr>
      <w:r w:rsidRPr="006862A2">
        <w:rPr>
          <w:rFonts w:ascii="Arial" w:eastAsia="Times New Roman" w:hAnsi="Arial" w:cs="Arial"/>
          <w:b/>
          <w:bCs/>
          <w:caps/>
          <w:color w:val="FFFFFF"/>
          <w:kern w:val="36"/>
          <w:sz w:val="48"/>
          <w:szCs w:val="48"/>
          <w:lang w:eastAsia="fr-FR"/>
        </w:rPr>
        <w:t>LES BIENS SANS MAÎTRE</w:t>
      </w:r>
      <w:r>
        <w:rPr>
          <w:rStyle w:val="Appelnotedebasdep"/>
          <w:rFonts w:ascii="Arial" w:eastAsia="Times New Roman" w:hAnsi="Arial" w:cs="Arial"/>
          <w:b/>
          <w:bCs/>
          <w:caps/>
          <w:color w:val="FFFFFF"/>
          <w:kern w:val="36"/>
          <w:sz w:val="48"/>
          <w:szCs w:val="48"/>
          <w:lang w:eastAsia="fr-FR"/>
        </w:rPr>
        <w:footnoteReference w:id="1"/>
      </w:r>
    </w:p>
    <w:p w:rsidR="006862A2" w:rsidRDefault="006862A2" w:rsidP="006862A2">
      <w:pPr>
        <w:shd w:val="clear" w:color="auto" w:fill="FFFFFF"/>
        <w:spacing w:after="100" w:afterAutospacing="1" w:line="240" w:lineRule="auto"/>
        <w:rPr>
          <w:rFonts w:ascii="Arial" w:eastAsia="Times New Roman" w:hAnsi="Arial" w:cs="Arial"/>
          <w:color w:val="212529"/>
          <w:lang w:eastAsia="fr-FR"/>
        </w:rPr>
      </w:pP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L’appropriation des immeubles sans maître constitue un mode d’acquisition de la propriété exorbitant du droit commun (le régime des biens sans maître a été modifié en 2014 par la loi ALUR et par la loi n° 2022-217 du 21 février 2022 relative à la différenciation, la décentralisation, la déconcentration et portant diverses mesures de simplification de l'action publique locale dite « loi 3DS » [cf. art. 98 et 99]).</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Le code général de la propriété des personnes publiques (CG3P) précise, dans le contexte de la dévolution des biens sans maître aux communes ou aux établissements publics de coopération intercommunale (EPCI) à fiscalité propre dont elles sont membres, leur définition (</w:t>
      </w:r>
      <w:hyperlink r:id="rId7" w:tgtFrame="_blank" w:tooltip="Ouvrir « art. L. 1123-1 du CG3P » dans une nouvelle fenêtre" w:history="1">
        <w:r w:rsidR="005E0CDD">
          <w:rPr>
            <w:rFonts w:ascii="Arial" w:eastAsia="Times New Roman" w:hAnsi="Arial" w:cs="Arial"/>
            <w:color w:val="3054B8"/>
            <w:u w:val="single"/>
            <w:lang w:eastAsia="fr-FR"/>
          </w:rPr>
          <w:t>art. L</w:t>
        </w:r>
        <w:r w:rsidRPr="006862A2">
          <w:rPr>
            <w:rFonts w:ascii="Arial" w:eastAsia="Times New Roman" w:hAnsi="Arial" w:cs="Arial"/>
            <w:color w:val="3054B8"/>
            <w:u w:val="single"/>
            <w:lang w:eastAsia="fr-FR"/>
          </w:rPr>
          <w:t>1123-1 du CG3P</w:t>
        </w:r>
      </w:hyperlink>
      <w:r w:rsidRPr="006862A2">
        <w:rPr>
          <w:rFonts w:ascii="Arial" w:eastAsia="Times New Roman" w:hAnsi="Arial" w:cs="Arial"/>
          <w:color w:val="212529"/>
          <w:lang w:eastAsia="fr-FR"/>
        </w:rPr>
        <w:t>) et les modalités de la procédure d’appréhension des biens «présumés » sans maître (</w:t>
      </w:r>
      <w:hyperlink r:id="rId8" w:tgtFrame="_blank" w:tooltip="Ouvrir « art. L. 1123-3 du CG3P » dans une nouvelle fenêtre" w:history="1">
        <w:r w:rsidR="005E0CDD">
          <w:rPr>
            <w:rFonts w:ascii="Arial" w:eastAsia="Times New Roman" w:hAnsi="Arial" w:cs="Arial"/>
            <w:color w:val="3054B8"/>
            <w:u w:val="single"/>
            <w:lang w:eastAsia="fr-FR"/>
          </w:rPr>
          <w:t>art. L</w:t>
        </w:r>
        <w:r w:rsidRPr="006862A2">
          <w:rPr>
            <w:rFonts w:ascii="Arial" w:eastAsia="Times New Roman" w:hAnsi="Arial" w:cs="Arial"/>
            <w:color w:val="3054B8"/>
            <w:u w:val="single"/>
            <w:lang w:eastAsia="fr-FR"/>
          </w:rPr>
          <w:t>1123-3 du CG3P</w:t>
        </w:r>
      </w:hyperlink>
      <w:r w:rsidRPr="006862A2">
        <w:rPr>
          <w:rFonts w:ascii="Arial" w:eastAsia="Times New Roman" w:hAnsi="Arial" w:cs="Arial"/>
          <w:color w:val="212529"/>
          <w:lang w:eastAsia="fr-FR"/>
        </w:rPr>
        <w:t>).</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Au plan formel, les prescriptions relatives aux biens sans maître sont scindées :</w:t>
      </w:r>
    </w:p>
    <w:p w:rsidR="006862A2" w:rsidRDefault="006862A2" w:rsidP="006862A2">
      <w:pPr>
        <w:numPr>
          <w:ilvl w:val="0"/>
          <w:numId w:val="1"/>
        </w:numPr>
        <w:shd w:val="clear" w:color="auto" w:fill="FFFFFF"/>
        <w:spacing w:before="100" w:beforeAutospacing="1"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Celles qui concernent la définition et les modalités d’acquisition des biens sans maître sont intégrées dans la première partie du code relative aux acquisitions des biens (</w:t>
      </w:r>
      <w:hyperlink r:id="rId9" w:tgtFrame="_blank" w:tooltip="Ouvrir « art. L. 1123-1 à L. 1123-3 » dans une nouvelle fenêtre" w:history="1">
        <w:r w:rsidR="005E0CDD">
          <w:rPr>
            <w:rFonts w:ascii="Arial" w:eastAsia="Times New Roman" w:hAnsi="Arial" w:cs="Arial"/>
            <w:color w:val="3054B8"/>
            <w:u w:val="single"/>
            <w:lang w:eastAsia="fr-FR"/>
          </w:rPr>
          <w:t>art. L1123-1 à L</w:t>
        </w:r>
        <w:r w:rsidRPr="006862A2">
          <w:rPr>
            <w:rFonts w:ascii="Arial" w:eastAsia="Times New Roman" w:hAnsi="Arial" w:cs="Arial"/>
            <w:color w:val="3054B8"/>
            <w:u w:val="single"/>
            <w:lang w:eastAsia="fr-FR"/>
          </w:rPr>
          <w:t>1123-3</w:t>
        </w:r>
      </w:hyperlink>
      <w:r w:rsidRPr="006862A2">
        <w:rPr>
          <w:rFonts w:ascii="Arial" w:eastAsia="Times New Roman" w:hAnsi="Arial" w:cs="Arial"/>
          <w:color w:val="212529"/>
          <w:lang w:eastAsia="fr-FR"/>
        </w:rPr>
        <w:t>) ;</w:t>
      </w:r>
    </w:p>
    <w:p w:rsidR="006862A2" w:rsidRPr="005E0CDD" w:rsidRDefault="006862A2" w:rsidP="005E0CDD">
      <w:pPr>
        <w:pStyle w:val="Paragraphedeliste"/>
        <w:numPr>
          <w:ilvl w:val="0"/>
          <w:numId w:val="10"/>
        </w:numPr>
        <w:shd w:val="clear" w:color="auto" w:fill="FFFFFF"/>
        <w:spacing w:before="100" w:beforeAutospacing="1" w:after="100" w:afterAutospacing="1" w:line="240" w:lineRule="auto"/>
        <w:ind w:left="709" w:hanging="283"/>
        <w:rPr>
          <w:rFonts w:ascii="Arial" w:eastAsia="Times New Roman" w:hAnsi="Arial" w:cs="Arial"/>
          <w:color w:val="212529"/>
          <w:lang w:eastAsia="fr-FR"/>
        </w:rPr>
      </w:pPr>
      <w:r w:rsidRPr="005E0CDD">
        <w:rPr>
          <w:rFonts w:ascii="Arial" w:eastAsia="Times New Roman" w:hAnsi="Arial" w:cs="Arial"/>
          <w:color w:val="212529"/>
          <w:lang w:eastAsia="fr-FR"/>
        </w:rPr>
        <w:t>Celles qui régissent la restitution des immeubles sans maître figurent dans la deuxième partie consacrée à la gestion des biens du domaine privé (</w:t>
      </w:r>
      <w:hyperlink r:id="rId10" w:tgtFrame="_blank" w:tooltip="Ouvrir « art. L. 2222-20 » dans une nouvelle fenêtre" w:history="1">
        <w:r w:rsidRPr="005E0CDD">
          <w:rPr>
            <w:rFonts w:ascii="Arial" w:eastAsia="Times New Roman" w:hAnsi="Arial" w:cs="Arial"/>
            <w:color w:val="3054B8"/>
            <w:u w:val="single"/>
            <w:lang w:eastAsia="fr-FR"/>
          </w:rPr>
          <w:t>art. L. 2222-20</w:t>
        </w:r>
      </w:hyperlink>
      <w:r w:rsidRPr="005E0CDD">
        <w:rPr>
          <w:rFonts w:ascii="Arial" w:eastAsia="Times New Roman" w:hAnsi="Arial" w:cs="Arial"/>
          <w:color w:val="212529"/>
          <w:lang w:eastAsia="fr-FR"/>
        </w:rPr>
        <w:t>).</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Les biens sans maître appartiennent aux </w:t>
      </w:r>
      <w:r w:rsidRPr="006862A2">
        <w:rPr>
          <w:rFonts w:ascii="Arial" w:eastAsia="Times New Roman" w:hAnsi="Arial" w:cs="Arial"/>
          <w:b/>
          <w:bCs/>
          <w:color w:val="212529"/>
          <w:lang w:eastAsia="fr-FR"/>
        </w:rPr>
        <w:t>communes</w:t>
      </w:r>
      <w:r w:rsidRPr="006862A2">
        <w:rPr>
          <w:rFonts w:ascii="Arial" w:eastAsia="Times New Roman" w:hAnsi="Arial" w:cs="Arial"/>
          <w:color w:val="212529"/>
          <w:lang w:eastAsia="fr-FR"/>
        </w:rPr>
        <w:t> sur le territoire desquelles ils sont situés. Toutefois, la commune peut, par délibération du conseil municipal, renoncer à exercer ses droits sur tout ou partie de son territoire au profit de l'</w:t>
      </w:r>
      <w:r w:rsidRPr="006862A2">
        <w:rPr>
          <w:rFonts w:ascii="Arial" w:eastAsia="Times New Roman" w:hAnsi="Arial" w:cs="Arial"/>
          <w:b/>
          <w:bCs/>
          <w:color w:val="212529"/>
          <w:lang w:eastAsia="fr-FR"/>
        </w:rPr>
        <w:t>EPCI à fiscalité propre</w:t>
      </w:r>
      <w:r w:rsidRPr="006862A2">
        <w:rPr>
          <w:rFonts w:ascii="Arial" w:eastAsia="Times New Roman" w:hAnsi="Arial" w:cs="Arial"/>
          <w:color w:val="212529"/>
          <w:lang w:eastAsia="fr-FR"/>
        </w:rPr>
        <w:t> dont elle est membre (</w:t>
      </w:r>
      <w:hyperlink r:id="rId11" w:tgtFrame="_blank" w:tooltip="Ouvrir « art. 713 du Code civil » dans une nouvelle fenêtre" w:history="1">
        <w:r w:rsidRPr="006862A2">
          <w:rPr>
            <w:rFonts w:ascii="Arial" w:eastAsia="Times New Roman" w:hAnsi="Arial" w:cs="Arial"/>
            <w:color w:val="3054B8"/>
            <w:u w:val="single"/>
            <w:lang w:eastAsia="fr-FR"/>
          </w:rPr>
          <w:t>art. 713 du Code civil</w:t>
        </w:r>
      </w:hyperlink>
      <w:r w:rsidRPr="006862A2">
        <w:rPr>
          <w:rFonts w:ascii="Arial" w:eastAsia="Times New Roman" w:hAnsi="Arial" w:cs="Arial"/>
          <w:color w:val="212529"/>
          <w:lang w:eastAsia="fr-FR"/>
        </w:rPr>
        <w:t> modifié par la loi ALUR, la loi n° 2016-1087 du 8 août 2016 pour la reconquête de la biodiversité, de la nature et des paysages et la loi 3DS).</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Si la commune ou l'EPCI </w:t>
      </w:r>
      <w:r w:rsidRPr="006862A2">
        <w:rPr>
          <w:rFonts w:ascii="Arial" w:eastAsia="Times New Roman" w:hAnsi="Arial" w:cs="Arial"/>
          <w:b/>
          <w:bCs/>
          <w:color w:val="212529"/>
          <w:lang w:eastAsia="fr-FR"/>
        </w:rPr>
        <w:t>renonce</w:t>
      </w:r>
      <w:r w:rsidRPr="006862A2">
        <w:rPr>
          <w:rFonts w:ascii="Arial" w:eastAsia="Times New Roman" w:hAnsi="Arial" w:cs="Arial"/>
          <w:color w:val="212529"/>
          <w:lang w:eastAsia="fr-FR"/>
        </w:rPr>
        <w:t> à exercer ses droits, la propriété est transférée de plein droit :</w:t>
      </w:r>
    </w:p>
    <w:p w:rsidR="006862A2" w:rsidRDefault="006862A2" w:rsidP="006862A2">
      <w:pPr>
        <w:numPr>
          <w:ilvl w:val="0"/>
          <w:numId w:val="2"/>
        </w:numPr>
        <w:shd w:val="clear" w:color="auto" w:fill="FFFFFF"/>
        <w:spacing w:before="100" w:beforeAutospacing="1"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pour les biens situés dans les zones définies à l'</w:t>
      </w:r>
      <w:hyperlink r:id="rId12" w:tgtFrame="_blank" w:tooltip="Ouvrir « article L. 322-1 » dans une nouvelle fenêtre" w:history="1">
        <w:r w:rsidRPr="006862A2">
          <w:rPr>
            <w:rFonts w:ascii="Arial" w:eastAsia="Times New Roman" w:hAnsi="Arial" w:cs="Arial"/>
            <w:color w:val="3054B8"/>
            <w:u w:val="single"/>
            <w:lang w:eastAsia="fr-FR"/>
          </w:rPr>
          <w:t>article L. 322-1</w:t>
        </w:r>
      </w:hyperlink>
      <w:r w:rsidRPr="006862A2">
        <w:rPr>
          <w:rFonts w:ascii="Arial" w:eastAsia="Times New Roman" w:hAnsi="Arial" w:cs="Arial"/>
          <w:color w:val="212529"/>
          <w:lang w:eastAsia="fr-FR"/>
        </w:rPr>
        <w:t> du code de l'environnement, au Conservatoire de l'espace littoral et des rivages lacustres (CELRL) lorsqu'il en fait la demande ou, à défaut, au conservatoire régional d'espaces naturels (CREN) agréé au titre de l'</w:t>
      </w:r>
      <w:hyperlink r:id="rId13" w:tgtFrame="_blank" w:tooltip="Ouvrir « article L. 414-11 » dans une nouvelle fenêtre" w:history="1">
        <w:r w:rsidRPr="006862A2">
          <w:rPr>
            <w:rFonts w:ascii="Arial" w:eastAsia="Times New Roman" w:hAnsi="Arial" w:cs="Arial"/>
            <w:color w:val="3054B8"/>
            <w:u w:val="single"/>
            <w:lang w:eastAsia="fr-FR"/>
          </w:rPr>
          <w:t>article L. 414-11</w:t>
        </w:r>
      </w:hyperlink>
      <w:r w:rsidRPr="006862A2">
        <w:rPr>
          <w:rFonts w:ascii="Arial" w:eastAsia="Times New Roman" w:hAnsi="Arial" w:cs="Arial"/>
          <w:color w:val="212529"/>
          <w:lang w:eastAsia="fr-FR"/>
        </w:rPr>
        <w:t> du même code lorsqu'il en fait la demande ou, à défaut, à l'État ;</w:t>
      </w:r>
    </w:p>
    <w:p w:rsidR="006862A2" w:rsidRPr="005E0CDD" w:rsidRDefault="006862A2" w:rsidP="005E0CDD">
      <w:pPr>
        <w:pStyle w:val="Paragraphedeliste"/>
        <w:numPr>
          <w:ilvl w:val="0"/>
          <w:numId w:val="10"/>
        </w:numPr>
        <w:shd w:val="clear" w:color="auto" w:fill="FFFFFF"/>
        <w:spacing w:before="100" w:beforeAutospacing="1" w:after="100" w:afterAutospacing="1" w:line="240" w:lineRule="auto"/>
        <w:ind w:left="709" w:hanging="283"/>
        <w:rPr>
          <w:rFonts w:ascii="Arial" w:eastAsia="Times New Roman" w:hAnsi="Arial" w:cs="Arial"/>
          <w:color w:val="212529"/>
          <w:lang w:eastAsia="fr-FR"/>
        </w:rPr>
      </w:pPr>
      <w:r w:rsidRPr="005E0CDD">
        <w:rPr>
          <w:rFonts w:ascii="Arial" w:eastAsia="Times New Roman" w:hAnsi="Arial" w:cs="Arial"/>
          <w:color w:val="212529"/>
          <w:lang w:eastAsia="fr-FR"/>
        </w:rPr>
        <w:t>pour les autres biens, après accord du représentant de l’État dans la région, au CREN agréé au titre de l’article L. 414-11 lorsqu’il en fait la demande ou, à défaut, à l'État.</w:t>
      </w:r>
    </w:p>
    <w:p w:rsidR="006862A2" w:rsidRPr="006862A2" w:rsidRDefault="006862A2" w:rsidP="006862A2">
      <w:pPr>
        <w:shd w:val="clear" w:color="auto" w:fill="FFFFFF"/>
        <w:spacing w:before="100" w:beforeAutospacing="1" w:after="100" w:afterAutospacing="1" w:line="240" w:lineRule="auto"/>
        <w:jc w:val="center"/>
        <w:outlineLvl w:val="1"/>
        <w:rPr>
          <w:rFonts w:ascii="Arial" w:eastAsia="Times New Roman" w:hAnsi="Arial" w:cs="Arial"/>
          <w:b/>
          <w:bCs/>
          <w:color w:val="212529"/>
          <w:lang w:eastAsia="fr-FR"/>
        </w:rPr>
      </w:pPr>
      <w:bookmarkStart w:id="0" w:name="Définition_des_biens_sans_maître"/>
      <w:r w:rsidRPr="006862A2">
        <w:rPr>
          <w:rFonts w:ascii="Arial" w:eastAsia="Times New Roman" w:hAnsi="Arial" w:cs="Arial"/>
          <w:b/>
          <w:bCs/>
          <w:color w:val="212529"/>
          <w:u w:val="single"/>
          <w:lang w:eastAsia="fr-FR"/>
        </w:rPr>
        <w:t>La définition des biens sans maître</w:t>
      </w:r>
      <w:bookmarkEnd w:id="0"/>
    </w:p>
    <w:p w:rsidR="006862A2" w:rsidRPr="006862A2" w:rsidRDefault="006862A2" w:rsidP="006862A2">
      <w:pPr>
        <w:shd w:val="clear" w:color="auto" w:fill="FFFFFF"/>
        <w:spacing w:after="100" w:afterAutospacing="1" w:line="240" w:lineRule="auto"/>
        <w:outlineLvl w:val="2"/>
        <w:rPr>
          <w:rFonts w:ascii="Arial" w:eastAsia="Times New Roman" w:hAnsi="Arial" w:cs="Arial"/>
          <w:b/>
          <w:bCs/>
          <w:color w:val="212529"/>
          <w:lang w:eastAsia="fr-FR"/>
        </w:rPr>
      </w:pPr>
      <w:bookmarkStart w:id="1" w:name="Définition_des_articles"/>
      <w:r w:rsidRPr="006862A2">
        <w:rPr>
          <w:rFonts w:ascii="Arial" w:eastAsia="Times New Roman" w:hAnsi="Arial" w:cs="Arial"/>
          <w:b/>
          <w:bCs/>
          <w:color w:val="212529"/>
          <w:u w:val="single"/>
          <w:lang w:eastAsia="fr-FR"/>
        </w:rPr>
        <w:t>Définition</w:t>
      </w:r>
      <w:bookmarkEnd w:id="1"/>
      <w:r w:rsidRPr="006862A2">
        <w:rPr>
          <w:rFonts w:ascii="Arial" w:eastAsia="Times New Roman" w:hAnsi="Arial" w:cs="Arial"/>
          <w:b/>
          <w:bCs/>
          <w:color w:val="212529"/>
          <w:lang w:eastAsia="fr-FR"/>
        </w:rPr>
        <w:t> des </w:t>
      </w:r>
      <w:hyperlink r:id="rId14" w:tgtFrame="_blank" w:tooltip="Ouvrir « articles L. 1123-1 » dans une nouvelle fenêtre" w:history="1">
        <w:r w:rsidR="005E0CDD">
          <w:rPr>
            <w:rFonts w:ascii="Arial" w:eastAsia="Times New Roman" w:hAnsi="Arial" w:cs="Arial"/>
            <w:b/>
            <w:bCs/>
            <w:color w:val="3054B8"/>
            <w:u w:val="single"/>
            <w:lang w:eastAsia="fr-FR"/>
          </w:rPr>
          <w:t>articles L</w:t>
        </w:r>
        <w:r w:rsidRPr="006862A2">
          <w:rPr>
            <w:rFonts w:ascii="Arial" w:eastAsia="Times New Roman" w:hAnsi="Arial" w:cs="Arial"/>
            <w:b/>
            <w:bCs/>
            <w:color w:val="3054B8"/>
            <w:u w:val="single"/>
            <w:lang w:eastAsia="fr-FR"/>
          </w:rPr>
          <w:t>1123-1</w:t>
        </w:r>
      </w:hyperlink>
      <w:r w:rsidRPr="006862A2">
        <w:rPr>
          <w:rFonts w:ascii="Arial" w:eastAsia="Times New Roman" w:hAnsi="Arial" w:cs="Arial"/>
          <w:b/>
          <w:bCs/>
          <w:color w:val="212529"/>
          <w:lang w:eastAsia="fr-FR"/>
        </w:rPr>
        <w:t> et </w:t>
      </w:r>
      <w:hyperlink r:id="rId15" w:tgtFrame="_blank" w:tooltip="Ouvrir « R. 1123-1 du CG3P » dans une nouvelle fenêtre" w:history="1">
        <w:r w:rsidR="005E0CDD">
          <w:rPr>
            <w:rFonts w:ascii="Arial" w:eastAsia="Times New Roman" w:hAnsi="Arial" w:cs="Arial"/>
            <w:b/>
            <w:bCs/>
            <w:color w:val="3054B8"/>
            <w:u w:val="single"/>
            <w:lang w:eastAsia="fr-FR"/>
          </w:rPr>
          <w:t>R</w:t>
        </w:r>
        <w:r w:rsidRPr="006862A2">
          <w:rPr>
            <w:rFonts w:ascii="Arial" w:eastAsia="Times New Roman" w:hAnsi="Arial" w:cs="Arial"/>
            <w:b/>
            <w:bCs/>
            <w:color w:val="3054B8"/>
            <w:u w:val="single"/>
            <w:lang w:eastAsia="fr-FR"/>
          </w:rPr>
          <w:t>1123-1 du CG3P</w:t>
        </w:r>
      </w:hyperlink>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A l'exception des successions en déshérence pour lesquelles l’État a été envoyé en possession (</w:t>
      </w:r>
      <w:hyperlink r:id="rId16" w:tgtFrame="_blank" w:tooltip="Ouvrir « art. L. 1122-1 du CG3P » dans une nouvelle fenêtre" w:history="1">
        <w:r w:rsidR="005E0CDD">
          <w:rPr>
            <w:rFonts w:ascii="Arial" w:eastAsia="Times New Roman" w:hAnsi="Arial" w:cs="Arial"/>
            <w:color w:val="3054B8"/>
            <w:u w:val="single"/>
            <w:lang w:eastAsia="fr-FR"/>
          </w:rPr>
          <w:t>art. L</w:t>
        </w:r>
        <w:r w:rsidRPr="006862A2">
          <w:rPr>
            <w:rFonts w:ascii="Arial" w:eastAsia="Times New Roman" w:hAnsi="Arial" w:cs="Arial"/>
            <w:color w:val="3054B8"/>
            <w:u w:val="single"/>
            <w:lang w:eastAsia="fr-FR"/>
          </w:rPr>
          <w:t>1122-1 du CG3P</w:t>
        </w:r>
      </w:hyperlink>
      <w:r w:rsidRPr="006862A2">
        <w:rPr>
          <w:rFonts w:ascii="Arial" w:eastAsia="Times New Roman" w:hAnsi="Arial" w:cs="Arial"/>
          <w:color w:val="212529"/>
          <w:lang w:eastAsia="fr-FR"/>
        </w:rPr>
        <w:t>), sont considérés comme n’ayant pas de maître :</w:t>
      </w:r>
    </w:p>
    <w:p w:rsidR="006862A2" w:rsidRPr="006862A2" w:rsidRDefault="006862A2" w:rsidP="006862A2">
      <w:pPr>
        <w:numPr>
          <w:ilvl w:val="0"/>
          <w:numId w:val="4"/>
        </w:numPr>
        <w:shd w:val="clear" w:color="auto" w:fill="FFFFFF"/>
        <w:spacing w:before="100" w:beforeAutospacing="1"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lastRenderedPageBreak/>
        <w:t>les biens immobiliers faisant partie d’une succession ouverte depuis </w:t>
      </w:r>
      <w:r w:rsidRPr="006862A2">
        <w:rPr>
          <w:rFonts w:ascii="Arial" w:eastAsia="Times New Roman" w:hAnsi="Arial" w:cs="Arial"/>
          <w:b/>
          <w:bCs/>
          <w:color w:val="212529"/>
          <w:lang w:eastAsia="fr-FR"/>
        </w:rPr>
        <w:t>plus de trente ans</w:t>
      </w:r>
      <w:r w:rsidRPr="006862A2">
        <w:rPr>
          <w:rFonts w:ascii="Arial" w:eastAsia="Times New Roman" w:hAnsi="Arial" w:cs="Arial"/>
          <w:color w:val="212529"/>
          <w:lang w:eastAsia="fr-FR"/>
        </w:rPr>
        <w:t> et pour laquelle aucun successible ne s’est présenté.</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Toutefois, depuis le 23 février 2022, </w:t>
      </w:r>
      <w:r w:rsidRPr="006862A2">
        <w:rPr>
          <w:rFonts w:ascii="Arial" w:eastAsia="Times New Roman" w:hAnsi="Arial" w:cs="Arial"/>
          <w:b/>
          <w:bCs/>
          <w:color w:val="212529"/>
          <w:lang w:eastAsia="fr-FR"/>
        </w:rPr>
        <w:t>pour les successions ouvertes à compter du 1er janvier 2007 et non encore partagées </w:t>
      </w:r>
      <w:r w:rsidRPr="006862A2">
        <w:rPr>
          <w:rFonts w:ascii="Arial" w:eastAsia="Times New Roman" w:hAnsi="Arial" w:cs="Arial"/>
          <w:color w:val="212529"/>
          <w:lang w:eastAsia="fr-FR"/>
        </w:rPr>
        <w:t>(</w:t>
      </w:r>
      <w:hyperlink r:id="rId17" w:tgtFrame="_blank" w:tooltip="Ouvrir « IV de l’article 98 de la loi 3DS » dans une nouvelle fenêtre" w:history="1">
        <w:r w:rsidRPr="006862A2">
          <w:rPr>
            <w:rFonts w:ascii="Arial" w:eastAsia="Times New Roman" w:hAnsi="Arial" w:cs="Arial"/>
            <w:color w:val="3054B8"/>
            <w:u w:val="single"/>
            <w:lang w:eastAsia="fr-FR"/>
          </w:rPr>
          <w:t>IV de l’article 98 de la loi 3DS</w:t>
        </w:r>
      </w:hyperlink>
      <w:r w:rsidRPr="006862A2">
        <w:rPr>
          <w:rFonts w:ascii="Arial" w:eastAsia="Times New Roman" w:hAnsi="Arial" w:cs="Arial"/>
          <w:color w:val="212529"/>
          <w:lang w:eastAsia="fr-FR"/>
        </w:rPr>
        <w:t>)</w:t>
      </w:r>
      <w:r w:rsidRPr="006862A2">
        <w:rPr>
          <w:rFonts w:ascii="Arial" w:eastAsia="Times New Roman" w:hAnsi="Arial" w:cs="Arial"/>
          <w:b/>
          <w:bCs/>
          <w:color w:val="212529"/>
          <w:lang w:eastAsia="fr-FR"/>
        </w:rPr>
        <w:t>, ce délai est ramené à dix ans</w:t>
      </w:r>
      <w:r w:rsidRPr="006862A2">
        <w:rPr>
          <w:rFonts w:ascii="Arial" w:eastAsia="Times New Roman" w:hAnsi="Arial" w:cs="Arial"/>
          <w:color w:val="212529"/>
          <w:lang w:eastAsia="fr-FR"/>
        </w:rPr>
        <w:t> lorsque l</w:t>
      </w:r>
      <w:r w:rsidR="005E0CDD">
        <w:rPr>
          <w:rFonts w:ascii="Arial" w:eastAsia="Times New Roman" w:hAnsi="Arial" w:cs="Arial"/>
          <w:color w:val="212529"/>
          <w:lang w:eastAsia="fr-FR"/>
        </w:rPr>
        <w:t xml:space="preserve">es biens se situent </w:t>
      </w:r>
      <w:r w:rsidRPr="006862A2">
        <w:rPr>
          <w:rFonts w:ascii="Arial" w:eastAsia="Times New Roman" w:hAnsi="Arial" w:cs="Arial"/>
          <w:color w:val="212529"/>
          <w:lang w:eastAsia="fr-FR"/>
        </w:rPr>
        <w:t>:</w:t>
      </w:r>
    </w:p>
    <w:p w:rsidR="006862A2" w:rsidRDefault="006862A2" w:rsidP="006862A2">
      <w:pPr>
        <w:numPr>
          <w:ilvl w:val="0"/>
          <w:numId w:val="5"/>
        </w:numPr>
        <w:shd w:val="clear" w:color="auto" w:fill="FFFFFF"/>
        <w:spacing w:before="100" w:beforeAutospacing="1"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dans le périmètre d’une grande opération d’urbanisme au sens de l’</w:t>
      </w:r>
      <w:hyperlink r:id="rId18" w:tgtFrame="_blank" w:tooltip="Ouvrir « article L. 312-3 » dans une nouvelle fenêtre" w:history="1">
        <w:r w:rsidRPr="006862A2">
          <w:rPr>
            <w:rFonts w:ascii="Arial" w:eastAsia="Times New Roman" w:hAnsi="Arial" w:cs="Arial"/>
            <w:color w:val="3054B8"/>
            <w:u w:val="single"/>
            <w:lang w:eastAsia="fr-FR"/>
          </w:rPr>
          <w:t>article L. 312-3</w:t>
        </w:r>
      </w:hyperlink>
      <w:r w:rsidRPr="006862A2">
        <w:rPr>
          <w:rFonts w:ascii="Arial" w:eastAsia="Times New Roman" w:hAnsi="Arial" w:cs="Arial"/>
          <w:color w:val="212529"/>
          <w:lang w:eastAsia="fr-FR"/>
        </w:rPr>
        <w:t> du code de l’urbanisme ou d’une opération de revitalisation de territoire au sens de l’</w:t>
      </w:r>
      <w:hyperlink r:id="rId19" w:tgtFrame="_blank" w:tooltip="Ouvrir « article L. 303-2 » dans une nouvelle fenêtre" w:history="1">
        <w:r w:rsidRPr="006862A2">
          <w:rPr>
            <w:rFonts w:ascii="Arial" w:eastAsia="Times New Roman" w:hAnsi="Arial" w:cs="Arial"/>
            <w:color w:val="3054B8"/>
            <w:u w:val="single"/>
            <w:lang w:eastAsia="fr-FR"/>
          </w:rPr>
          <w:t>article L. 303-2</w:t>
        </w:r>
      </w:hyperlink>
      <w:r w:rsidRPr="006862A2">
        <w:rPr>
          <w:rFonts w:ascii="Arial" w:eastAsia="Times New Roman" w:hAnsi="Arial" w:cs="Arial"/>
          <w:color w:val="212529"/>
          <w:lang w:eastAsia="fr-FR"/>
        </w:rPr>
        <w:t> du code de la construction et de l’habitation ;</w:t>
      </w:r>
    </w:p>
    <w:p w:rsidR="008C35A2" w:rsidRDefault="008C35A2" w:rsidP="008C35A2">
      <w:pPr>
        <w:pStyle w:val="Paragraphedeliste"/>
        <w:shd w:val="clear" w:color="auto" w:fill="FFFFFF"/>
        <w:spacing w:before="100" w:beforeAutospacing="1" w:after="100" w:afterAutospacing="1" w:line="240" w:lineRule="auto"/>
        <w:rPr>
          <w:rFonts w:ascii="Arial" w:eastAsia="Times New Roman" w:hAnsi="Arial" w:cs="Arial"/>
          <w:color w:val="212529"/>
          <w:lang w:eastAsia="fr-FR"/>
        </w:rPr>
      </w:pPr>
    </w:p>
    <w:p w:rsidR="006862A2" w:rsidRPr="008C35A2" w:rsidRDefault="006862A2" w:rsidP="008C35A2">
      <w:pPr>
        <w:pStyle w:val="Paragraphedeliste"/>
        <w:numPr>
          <w:ilvl w:val="0"/>
          <w:numId w:val="5"/>
        </w:numPr>
        <w:shd w:val="clear" w:color="auto" w:fill="FFFFFF"/>
        <w:spacing w:before="100" w:beforeAutospacing="1" w:after="100" w:afterAutospacing="1" w:line="240" w:lineRule="auto"/>
        <w:rPr>
          <w:rFonts w:ascii="Arial" w:eastAsia="Times New Roman" w:hAnsi="Arial" w:cs="Arial"/>
          <w:color w:val="212529"/>
          <w:lang w:eastAsia="fr-FR"/>
        </w:rPr>
      </w:pPr>
      <w:r w:rsidRPr="008C35A2">
        <w:rPr>
          <w:rFonts w:ascii="Arial" w:eastAsia="Times New Roman" w:hAnsi="Arial" w:cs="Arial"/>
          <w:color w:val="212529"/>
          <w:lang w:eastAsia="fr-FR"/>
        </w:rPr>
        <w:t>ou, dans une zone de revitalisation rurale au sens de l’</w:t>
      </w:r>
      <w:hyperlink r:id="rId20" w:tgtFrame="_blank" w:tooltip="Ouvrir « article 1456 A » dans une nouvelle fenêtre" w:history="1">
        <w:r w:rsidRPr="008C35A2">
          <w:rPr>
            <w:rFonts w:ascii="Arial" w:eastAsia="Times New Roman" w:hAnsi="Arial" w:cs="Arial"/>
            <w:color w:val="3054B8"/>
            <w:u w:val="single"/>
            <w:lang w:eastAsia="fr-FR"/>
          </w:rPr>
          <w:t>article 1456 A</w:t>
        </w:r>
      </w:hyperlink>
      <w:r w:rsidRPr="008C35A2">
        <w:rPr>
          <w:rFonts w:ascii="Arial" w:eastAsia="Times New Roman" w:hAnsi="Arial" w:cs="Arial"/>
          <w:color w:val="212529"/>
          <w:lang w:eastAsia="fr-FR"/>
        </w:rPr>
        <w:t> du code général des impôts ou dans un quartier prioritaire de la politique de la ville au sens de l’</w:t>
      </w:r>
      <w:hyperlink r:id="rId21" w:tgtFrame="_blank" w:tooltip="Ouvrir « article 5 » dans une nouvelle fenêtre" w:history="1">
        <w:r w:rsidRPr="008C35A2">
          <w:rPr>
            <w:rFonts w:ascii="Arial" w:eastAsia="Times New Roman" w:hAnsi="Arial" w:cs="Arial"/>
            <w:color w:val="3054B8"/>
            <w:u w:val="single"/>
            <w:lang w:eastAsia="fr-FR"/>
          </w:rPr>
          <w:t>article 5</w:t>
        </w:r>
      </w:hyperlink>
      <w:r w:rsidRPr="008C35A2">
        <w:rPr>
          <w:rFonts w:ascii="Arial" w:eastAsia="Times New Roman" w:hAnsi="Arial" w:cs="Arial"/>
          <w:color w:val="212529"/>
          <w:lang w:eastAsia="fr-FR"/>
        </w:rPr>
        <w:t> de la loi n° 2014-173 du 21 février 2014 de programmation pour la ville et la cohésion urbaine ;</w:t>
      </w:r>
    </w:p>
    <w:p w:rsidR="006862A2" w:rsidRPr="006862A2" w:rsidRDefault="008C35A2" w:rsidP="008C35A2">
      <w:pPr>
        <w:shd w:val="clear" w:color="auto" w:fill="FFFFFF"/>
        <w:spacing w:before="100" w:beforeAutospacing="1" w:after="100" w:afterAutospacing="1" w:line="240" w:lineRule="auto"/>
        <w:ind w:left="720"/>
        <w:rPr>
          <w:rFonts w:ascii="Arial" w:eastAsia="Times New Roman" w:hAnsi="Arial" w:cs="Arial"/>
          <w:color w:val="212529"/>
          <w:lang w:eastAsia="fr-FR"/>
        </w:rPr>
      </w:pPr>
      <w:r w:rsidRPr="006862A2">
        <w:rPr>
          <w:rFonts w:ascii="Arial" w:eastAsia="Times New Roman" w:hAnsi="Arial" w:cs="Arial"/>
          <w:color w:val="212529"/>
          <w:lang w:eastAsia="fr-FR"/>
        </w:rPr>
        <w:t>Les</w:t>
      </w:r>
      <w:r w:rsidR="006862A2" w:rsidRPr="006862A2">
        <w:rPr>
          <w:rFonts w:ascii="Arial" w:eastAsia="Times New Roman" w:hAnsi="Arial" w:cs="Arial"/>
          <w:color w:val="212529"/>
          <w:lang w:eastAsia="fr-FR"/>
        </w:rPr>
        <w:t xml:space="preserve"> immeubles n'ayant </w:t>
      </w:r>
      <w:r w:rsidR="006862A2" w:rsidRPr="006862A2">
        <w:rPr>
          <w:rFonts w:ascii="Arial" w:eastAsia="Times New Roman" w:hAnsi="Arial" w:cs="Arial"/>
          <w:b/>
          <w:bCs/>
          <w:color w:val="212529"/>
          <w:lang w:eastAsia="fr-FR"/>
        </w:rPr>
        <w:t>pas de propriétaire connu</w:t>
      </w:r>
      <w:r w:rsidR="006862A2" w:rsidRPr="006862A2">
        <w:rPr>
          <w:rFonts w:ascii="Arial" w:eastAsia="Times New Roman" w:hAnsi="Arial" w:cs="Arial"/>
          <w:color w:val="212529"/>
          <w:lang w:eastAsia="fr-FR"/>
        </w:rPr>
        <w:t> et pour lesquels, depuis plus de trois ans, les taxes foncières (sur les propriétés bâties ou non bâties) n'ont pas été acquittées ou ont été acquittées par un tiers.</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Cette définition consacre désormais l’existence de deux catégories de biens sans maître contre trois précédemment, la loi 3DS ayant supprimé le critère de distinction que constituait l’assujettissement de l’immeuble, selon le cas, à la taxe foncière sur les propriétés bâties ou à la taxe foncière sur les propriétés non bâties.</w:t>
      </w:r>
    </w:p>
    <w:p w:rsidR="006862A2" w:rsidRPr="006862A2" w:rsidRDefault="006862A2" w:rsidP="006862A2">
      <w:pPr>
        <w:shd w:val="clear" w:color="auto" w:fill="FFFFFF"/>
        <w:spacing w:after="100" w:afterAutospacing="1" w:line="240" w:lineRule="auto"/>
        <w:outlineLvl w:val="2"/>
        <w:rPr>
          <w:rFonts w:ascii="Arial" w:eastAsia="Times New Roman" w:hAnsi="Arial" w:cs="Arial"/>
          <w:b/>
          <w:bCs/>
          <w:color w:val="212529"/>
          <w:lang w:eastAsia="fr-FR"/>
        </w:rPr>
      </w:pPr>
      <w:bookmarkStart w:id="2" w:name="Biens_faisant_partie_d'une_succession"/>
      <w:r w:rsidRPr="006862A2">
        <w:rPr>
          <w:rFonts w:ascii="Arial" w:eastAsia="Times New Roman" w:hAnsi="Arial" w:cs="Arial"/>
          <w:b/>
          <w:bCs/>
          <w:color w:val="212529"/>
          <w:u w:val="single"/>
          <w:lang w:eastAsia="fr-FR"/>
        </w:rPr>
        <w:t>Les biens faisant partie d’une succession ouverte depuis plus de trente ans ou dix ans selon les cas (cf. supra) et pour laquelle aucun successible ne s’est présenté</w:t>
      </w:r>
      <w:bookmarkEnd w:id="2"/>
    </w:p>
    <w:p w:rsidR="006862A2" w:rsidRPr="006862A2" w:rsidRDefault="008C35A2" w:rsidP="006862A2">
      <w:pPr>
        <w:shd w:val="clear" w:color="auto" w:fill="FFFFFF"/>
        <w:spacing w:after="100" w:afterAutospacing="1" w:line="240" w:lineRule="auto"/>
        <w:rPr>
          <w:rFonts w:ascii="Arial" w:eastAsia="Times New Roman" w:hAnsi="Arial" w:cs="Arial"/>
          <w:i/>
          <w:color w:val="212529"/>
          <w:lang w:eastAsia="fr-FR"/>
        </w:rPr>
      </w:pPr>
      <w:r>
        <w:rPr>
          <w:rFonts w:ascii="Arial" w:eastAsia="Times New Roman" w:hAnsi="Arial" w:cs="Arial"/>
          <w:color w:val="212529"/>
          <w:lang w:eastAsia="fr-FR"/>
        </w:rPr>
        <w:t>L’article L</w:t>
      </w:r>
      <w:r w:rsidR="006862A2" w:rsidRPr="006862A2">
        <w:rPr>
          <w:rFonts w:ascii="Arial" w:eastAsia="Times New Roman" w:hAnsi="Arial" w:cs="Arial"/>
          <w:color w:val="212529"/>
          <w:lang w:eastAsia="fr-FR"/>
        </w:rPr>
        <w:t>1123-1 du CG3P classe ces biens dans la catégori</w:t>
      </w:r>
      <w:r>
        <w:rPr>
          <w:rFonts w:ascii="Arial" w:eastAsia="Times New Roman" w:hAnsi="Arial" w:cs="Arial"/>
          <w:color w:val="212529"/>
          <w:lang w:eastAsia="fr-FR"/>
        </w:rPr>
        <w:t>e des biens sans maître (</w:t>
      </w:r>
      <w:r w:rsidRPr="008C35A2">
        <w:rPr>
          <w:rFonts w:ascii="Arial" w:eastAsia="Times New Roman" w:hAnsi="Arial" w:cs="Arial"/>
          <w:i/>
          <w:color w:val="212529"/>
          <w:lang w:eastAsia="fr-FR"/>
        </w:rPr>
        <w:t>art. L</w:t>
      </w:r>
      <w:r w:rsidR="006862A2" w:rsidRPr="006862A2">
        <w:rPr>
          <w:rFonts w:ascii="Arial" w:eastAsia="Times New Roman" w:hAnsi="Arial" w:cs="Arial"/>
          <w:i/>
          <w:color w:val="212529"/>
          <w:lang w:eastAsia="fr-FR"/>
        </w:rPr>
        <w:t xml:space="preserve"> 1123-1 1° du CG3P ; Cour de cassation, 22 mai 1970, </w:t>
      </w:r>
      <w:proofErr w:type="spellStart"/>
      <w:r w:rsidR="006862A2" w:rsidRPr="006862A2">
        <w:rPr>
          <w:rFonts w:ascii="Arial" w:eastAsia="Times New Roman" w:hAnsi="Arial" w:cs="Arial"/>
          <w:i/>
          <w:color w:val="212529"/>
          <w:lang w:eastAsia="fr-FR"/>
        </w:rPr>
        <w:t>civ</w:t>
      </w:r>
      <w:proofErr w:type="spellEnd"/>
      <w:r w:rsidR="006862A2" w:rsidRPr="006862A2">
        <w:rPr>
          <w:rFonts w:ascii="Arial" w:eastAsia="Times New Roman" w:hAnsi="Arial" w:cs="Arial"/>
          <w:i/>
          <w:color w:val="212529"/>
          <w:lang w:eastAsia="fr-FR"/>
        </w:rPr>
        <w:t xml:space="preserve">. 1, 68-12.797, service des domaines c/ </w:t>
      </w:r>
      <w:proofErr w:type="spellStart"/>
      <w:r w:rsidR="006862A2" w:rsidRPr="006862A2">
        <w:rPr>
          <w:rFonts w:ascii="Arial" w:eastAsia="Times New Roman" w:hAnsi="Arial" w:cs="Arial"/>
          <w:i/>
          <w:color w:val="212529"/>
          <w:lang w:eastAsia="fr-FR"/>
        </w:rPr>
        <w:t>Toe</w:t>
      </w:r>
      <w:proofErr w:type="spellEnd"/>
      <w:r w:rsidR="006862A2" w:rsidRPr="006862A2">
        <w:rPr>
          <w:rFonts w:ascii="Arial" w:eastAsia="Times New Roman" w:hAnsi="Arial" w:cs="Arial"/>
          <w:i/>
          <w:color w:val="212529"/>
          <w:lang w:eastAsia="fr-FR"/>
        </w:rPr>
        <w:t>).</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Ils ne se confondent pas avec les biens dépendant d’une succession en déshérence</w:t>
      </w:r>
      <w:r w:rsidR="008C35A2">
        <w:rPr>
          <w:rFonts w:ascii="Arial" w:eastAsia="Times New Roman" w:hAnsi="Arial" w:cs="Arial"/>
          <w:color w:val="212529"/>
          <w:lang w:eastAsia="fr-FR"/>
        </w:rPr>
        <w:t xml:space="preserve"> en application de l’article L</w:t>
      </w:r>
      <w:r w:rsidRPr="006862A2">
        <w:rPr>
          <w:rFonts w:ascii="Arial" w:eastAsia="Times New Roman" w:hAnsi="Arial" w:cs="Arial"/>
          <w:color w:val="212529"/>
          <w:lang w:eastAsia="fr-FR"/>
        </w:rPr>
        <w:t>1122-1 du CG3P, lesquels appartiennent à l’État et, par conséquent, ne sont pas susceptibles de faire l’objet d’une appropriation par les communes ou les EPCI.</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 xml:space="preserve">Seul l’État peut prétendre aux successions des personnes qui décèdent sans héritier et aux </w:t>
      </w:r>
      <w:r w:rsidRPr="006862A2">
        <w:rPr>
          <w:rFonts w:ascii="Arial" w:eastAsia="Times New Roman" w:hAnsi="Arial" w:cs="Arial"/>
          <w:color w:val="212529"/>
          <w:highlight w:val="yellow"/>
          <w:lang w:eastAsia="fr-FR"/>
        </w:rPr>
        <w:t>successions abandonnées</w:t>
      </w:r>
      <w:r w:rsidRPr="006862A2">
        <w:rPr>
          <w:rFonts w:ascii="Arial" w:eastAsia="Times New Roman" w:hAnsi="Arial" w:cs="Arial"/>
          <w:color w:val="212529"/>
          <w:lang w:eastAsia="fr-FR"/>
        </w:rPr>
        <w:t xml:space="preserve"> (articles 539 et 811 du Code civil). Celles-ci consistent en une </w:t>
      </w:r>
      <w:r w:rsidRPr="006862A2">
        <w:rPr>
          <w:rFonts w:ascii="Arial" w:eastAsia="Times New Roman" w:hAnsi="Arial" w:cs="Arial"/>
          <w:color w:val="212529"/>
          <w:highlight w:val="yellow"/>
          <w:lang w:eastAsia="fr-FR"/>
        </w:rPr>
        <w:t>universalité de patrimoine</w:t>
      </w:r>
      <w:r w:rsidRPr="006862A2">
        <w:rPr>
          <w:rFonts w:ascii="Arial" w:eastAsia="Times New Roman" w:hAnsi="Arial" w:cs="Arial"/>
          <w:color w:val="212529"/>
          <w:lang w:eastAsia="fr-FR"/>
        </w:rPr>
        <w:t xml:space="preserve"> et non en un bi</w:t>
      </w:r>
      <w:r w:rsidR="00A70428">
        <w:rPr>
          <w:rFonts w:ascii="Arial" w:eastAsia="Times New Roman" w:hAnsi="Arial" w:cs="Arial"/>
          <w:color w:val="212529"/>
          <w:lang w:eastAsia="fr-FR"/>
        </w:rPr>
        <w:t>en immobilier isolé</w:t>
      </w:r>
      <w:r w:rsidRPr="006862A2">
        <w:rPr>
          <w:rFonts w:ascii="Arial" w:eastAsia="Times New Roman" w:hAnsi="Arial" w:cs="Arial"/>
          <w:color w:val="212529"/>
          <w:lang w:eastAsia="fr-FR"/>
        </w:rPr>
        <w:t>; elles proviennent de personnes décédées sans héritiers au degré successible et sans avoir consenti de legs universels. Elles appartiennent à l’État en vertu de son droit de souveraineté, quelle que soit la date du décès des personnes considérées. Ces successions sont appréhendées par l’État selon les modalités fixées à l’</w:t>
      </w:r>
      <w:hyperlink r:id="rId22" w:tgtFrame="_blank" w:tooltip="Ouvrir « article 811 » dans une nouvelle fenêtre" w:history="1">
        <w:r w:rsidRPr="006862A2">
          <w:rPr>
            <w:rFonts w:ascii="Arial" w:eastAsia="Times New Roman" w:hAnsi="Arial" w:cs="Arial"/>
            <w:color w:val="3054B8"/>
            <w:u w:val="single"/>
            <w:lang w:eastAsia="fr-FR"/>
          </w:rPr>
          <w:t>article 811</w:t>
        </w:r>
      </w:hyperlink>
      <w:r w:rsidRPr="006862A2">
        <w:rPr>
          <w:rFonts w:ascii="Arial" w:eastAsia="Times New Roman" w:hAnsi="Arial" w:cs="Arial"/>
          <w:color w:val="212529"/>
          <w:lang w:eastAsia="fr-FR"/>
        </w:rPr>
        <w:t> du code civil et à l’</w:t>
      </w:r>
      <w:hyperlink r:id="rId23" w:tgtFrame="_blank" w:tooltip="Ouvrir « article 1354 » dans une nouvelle fenêtre" w:history="1">
        <w:r w:rsidRPr="006862A2">
          <w:rPr>
            <w:rFonts w:ascii="Arial" w:eastAsia="Times New Roman" w:hAnsi="Arial" w:cs="Arial"/>
            <w:color w:val="3054B8"/>
            <w:u w:val="single"/>
            <w:lang w:eastAsia="fr-FR"/>
          </w:rPr>
          <w:t>article 1354</w:t>
        </w:r>
      </w:hyperlink>
      <w:r w:rsidRPr="006862A2">
        <w:rPr>
          <w:rFonts w:ascii="Arial" w:eastAsia="Times New Roman" w:hAnsi="Arial" w:cs="Arial"/>
          <w:color w:val="212529"/>
          <w:lang w:eastAsia="fr-FR"/>
        </w:rPr>
        <w:t> du code de procédure civile.</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 xml:space="preserve">En revanche, </w:t>
      </w:r>
      <w:r w:rsidRPr="006862A2">
        <w:rPr>
          <w:rFonts w:ascii="Arial" w:eastAsia="Times New Roman" w:hAnsi="Arial" w:cs="Arial"/>
          <w:color w:val="212529"/>
          <w:highlight w:val="yellow"/>
          <w:lang w:eastAsia="fr-FR"/>
        </w:rPr>
        <w:t>les biens immobiliers individualisés</w:t>
      </w:r>
      <w:r w:rsidRPr="006862A2">
        <w:rPr>
          <w:rFonts w:ascii="Arial" w:eastAsia="Times New Roman" w:hAnsi="Arial" w:cs="Arial"/>
          <w:color w:val="212529"/>
          <w:lang w:eastAsia="fr-FR"/>
        </w:rPr>
        <w:t xml:space="preserve">, qui font partie d’une succession ouverte depuis plus de trente ans, </w:t>
      </w:r>
      <w:r w:rsidRPr="006862A2">
        <w:rPr>
          <w:rFonts w:ascii="Arial" w:eastAsia="Times New Roman" w:hAnsi="Arial" w:cs="Arial"/>
          <w:color w:val="212529"/>
          <w:highlight w:val="yellow"/>
          <w:lang w:eastAsia="fr-FR"/>
        </w:rPr>
        <w:t>ou dix ans</w:t>
      </w:r>
      <w:r w:rsidRPr="006862A2">
        <w:rPr>
          <w:rFonts w:ascii="Arial" w:eastAsia="Times New Roman" w:hAnsi="Arial" w:cs="Arial"/>
          <w:color w:val="212529"/>
          <w:lang w:eastAsia="fr-FR"/>
        </w:rPr>
        <w:t>, (cf. supra) et pour laquelle aucun successible ne s’est présenté </w:t>
      </w:r>
      <w:r w:rsidRPr="006862A2">
        <w:rPr>
          <w:rFonts w:ascii="Arial" w:eastAsia="Times New Roman" w:hAnsi="Arial" w:cs="Arial"/>
          <w:b/>
          <w:bCs/>
          <w:color w:val="212529"/>
          <w:lang w:eastAsia="fr-FR"/>
        </w:rPr>
        <w:t>constituent des biens sans maître proprement dits</w:t>
      </w:r>
      <w:r w:rsidRPr="006862A2">
        <w:rPr>
          <w:rFonts w:ascii="Arial" w:eastAsia="Times New Roman" w:hAnsi="Arial" w:cs="Arial"/>
          <w:color w:val="212529"/>
          <w:lang w:eastAsia="fr-FR"/>
        </w:rPr>
        <w:t>. Par détermination de la loi, ils appartiennent aux communes/EPCI ou, en cas de renonciation de ceux-ci, au CELRL ou au CREN ou bien à l’État (</w:t>
      </w:r>
      <w:hyperlink r:id="rId24" w:tgtFrame="_blank" w:tooltip="Ouvrir « articles 713 » dans une nouvelle fenêtre" w:history="1">
        <w:r w:rsidRPr="006862A2">
          <w:rPr>
            <w:rFonts w:ascii="Arial" w:eastAsia="Times New Roman" w:hAnsi="Arial" w:cs="Arial"/>
            <w:color w:val="3054B8"/>
            <w:u w:val="single"/>
            <w:lang w:eastAsia="fr-FR"/>
          </w:rPr>
          <w:t>articles 713</w:t>
        </w:r>
      </w:hyperlink>
      <w:r w:rsidRPr="006862A2">
        <w:rPr>
          <w:rFonts w:ascii="Arial" w:eastAsia="Times New Roman" w:hAnsi="Arial" w:cs="Arial"/>
          <w:color w:val="212529"/>
          <w:lang w:eastAsia="fr-FR"/>
        </w:rPr>
        <w:t> du code civil et </w:t>
      </w:r>
      <w:hyperlink r:id="rId25" w:tgtFrame="_blank" w:tooltip="Ouvrir « L. 1123-2 » dans une nouvelle fenêtre" w:history="1">
        <w:r w:rsidRPr="006862A2">
          <w:rPr>
            <w:rFonts w:ascii="Arial" w:eastAsia="Times New Roman" w:hAnsi="Arial" w:cs="Arial"/>
            <w:color w:val="3054B8"/>
            <w:u w:val="single"/>
            <w:lang w:eastAsia="fr-FR"/>
          </w:rPr>
          <w:t>L. 1123-2</w:t>
        </w:r>
      </w:hyperlink>
      <w:r w:rsidRPr="006862A2">
        <w:rPr>
          <w:rFonts w:ascii="Arial" w:eastAsia="Times New Roman" w:hAnsi="Arial" w:cs="Arial"/>
          <w:color w:val="212529"/>
          <w:lang w:eastAsia="fr-FR"/>
        </w:rPr>
        <w:t> du CG3P).</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 xml:space="preserve">Cette catégorie de biens comprend, en pratique, les biens immobiliers dont le propriétaire, identifié, est décédé depuis plus de trente ans ou dix ans selon les cas, sans héritier, ou en </w:t>
      </w:r>
      <w:r w:rsidRPr="006862A2">
        <w:rPr>
          <w:rFonts w:ascii="Arial" w:eastAsia="Times New Roman" w:hAnsi="Arial" w:cs="Arial"/>
          <w:color w:val="212529"/>
          <w:lang w:eastAsia="fr-FR"/>
        </w:rPr>
        <w:lastRenderedPageBreak/>
        <w:t xml:space="preserve">laissant </w:t>
      </w:r>
      <w:r w:rsidRPr="006862A2">
        <w:rPr>
          <w:rFonts w:ascii="Arial" w:eastAsia="Times New Roman" w:hAnsi="Arial" w:cs="Arial"/>
          <w:color w:val="212529"/>
          <w:highlight w:val="yellow"/>
          <w:lang w:eastAsia="fr-FR"/>
        </w:rPr>
        <w:t>des héritiers n’ayant pas accepté la succession, expressément ou tacitement</w:t>
      </w:r>
      <w:r w:rsidRPr="006862A2">
        <w:rPr>
          <w:rFonts w:ascii="Arial" w:eastAsia="Times New Roman" w:hAnsi="Arial" w:cs="Arial"/>
          <w:color w:val="212529"/>
          <w:lang w:eastAsia="fr-FR"/>
        </w:rPr>
        <w:t>, pendant cette période.</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highlight w:val="yellow"/>
          <w:lang w:eastAsia="fr-FR"/>
        </w:rPr>
        <w:t>Le décès (ou l’absence</w:t>
      </w:r>
      <w:r w:rsidRPr="006862A2">
        <w:rPr>
          <w:rFonts w:ascii="Arial" w:eastAsia="Times New Roman" w:hAnsi="Arial" w:cs="Arial"/>
          <w:color w:val="212529"/>
          <w:lang w:eastAsia="fr-FR"/>
        </w:rPr>
        <w:t xml:space="preserve"> qui produit les mêmes effets que le décès en application de l’</w:t>
      </w:r>
      <w:hyperlink r:id="rId26" w:tgtFrame="_blank" w:tooltip="Ouvrir « article 128 » dans une nouvelle fenêtre" w:history="1">
        <w:r w:rsidRPr="006862A2">
          <w:rPr>
            <w:rFonts w:ascii="Arial" w:eastAsia="Times New Roman" w:hAnsi="Arial" w:cs="Arial"/>
            <w:color w:val="3054B8"/>
            <w:u w:val="single"/>
            <w:lang w:eastAsia="fr-FR"/>
          </w:rPr>
          <w:t>article 128</w:t>
        </w:r>
      </w:hyperlink>
      <w:r w:rsidRPr="006862A2">
        <w:rPr>
          <w:rFonts w:ascii="Arial" w:eastAsia="Times New Roman" w:hAnsi="Arial" w:cs="Arial"/>
          <w:color w:val="212529"/>
          <w:lang w:eastAsia="fr-FR"/>
        </w:rPr>
        <w:t> du code civil) doit être établi avec certitude pour que la commune ou l'EPCI puisse faire valoir ses droits à l’égard du bien concerné.</w:t>
      </w:r>
    </w:p>
    <w:p w:rsidR="006862A2" w:rsidRPr="006862A2" w:rsidRDefault="006862A2" w:rsidP="006862A2">
      <w:pPr>
        <w:shd w:val="clear" w:color="auto" w:fill="FFFFFF"/>
        <w:spacing w:after="100" w:afterAutospacing="1" w:line="240" w:lineRule="auto"/>
        <w:rPr>
          <w:rFonts w:ascii="Arial" w:eastAsia="Times New Roman" w:hAnsi="Arial" w:cs="Arial"/>
          <w:i/>
          <w:color w:val="212529"/>
          <w:lang w:eastAsia="fr-FR"/>
        </w:rPr>
      </w:pPr>
      <w:r w:rsidRPr="006862A2">
        <w:rPr>
          <w:rFonts w:ascii="Arial" w:eastAsia="Times New Roman" w:hAnsi="Arial" w:cs="Arial"/>
          <w:color w:val="212529"/>
          <w:lang w:eastAsia="fr-FR"/>
        </w:rPr>
        <w:t xml:space="preserve">De même, </w:t>
      </w:r>
      <w:r w:rsidRPr="006862A2">
        <w:rPr>
          <w:rFonts w:ascii="Arial" w:eastAsia="Times New Roman" w:hAnsi="Arial" w:cs="Arial"/>
          <w:color w:val="212529"/>
          <w:highlight w:val="yellow"/>
          <w:lang w:eastAsia="fr-FR"/>
        </w:rPr>
        <w:t>les biens immobiliers individualisés des personnes qui sont décédées depuis moins de trente ans ou dix ans selon les cas, sans héritier ni légataire universel ou dont les héritiers ont refusé la succession, ne peuvent appartenir aux communes/</w:t>
      </w:r>
      <w:r w:rsidRPr="006862A2">
        <w:rPr>
          <w:rFonts w:ascii="Arial" w:eastAsia="Times New Roman" w:hAnsi="Arial" w:cs="Arial"/>
          <w:color w:val="212529"/>
          <w:lang w:eastAsia="fr-FR"/>
        </w:rPr>
        <w:t xml:space="preserve">EPCI. Au-delà de cette période de trente ans à compter du décès ou dix ans selon les cas, ces biens immobiliers peuvent être acquis par les communes/EPCI au titre des biens sans maître </w:t>
      </w:r>
      <w:r w:rsidRPr="006862A2">
        <w:rPr>
          <w:rFonts w:ascii="Arial" w:eastAsia="Times New Roman" w:hAnsi="Arial" w:cs="Arial"/>
          <w:i/>
          <w:color w:val="212529"/>
          <w:lang w:eastAsia="fr-FR"/>
        </w:rPr>
        <w:t>(articles L. 1123-1 2°  et L. 1123-3 du CG3P).</w:t>
      </w:r>
    </w:p>
    <w:p w:rsidR="006862A2" w:rsidRPr="006862A2" w:rsidRDefault="006862A2" w:rsidP="006862A2">
      <w:pPr>
        <w:shd w:val="clear" w:color="auto" w:fill="FFFFFF"/>
        <w:spacing w:after="100" w:afterAutospacing="1" w:line="240" w:lineRule="auto"/>
        <w:outlineLvl w:val="2"/>
        <w:rPr>
          <w:rFonts w:ascii="Arial" w:eastAsia="Times New Roman" w:hAnsi="Arial" w:cs="Arial"/>
          <w:b/>
          <w:bCs/>
          <w:color w:val="212529"/>
          <w:lang w:eastAsia="fr-FR"/>
        </w:rPr>
      </w:pPr>
      <w:bookmarkStart w:id="3" w:name="Immeubles_qui_n'ont_pas_de_propriétaire"/>
      <w:r w:rsidRPr="006862A2">
        <w:rPr>
          <w:rFonts w:ascii="Arial" w:eastAsia="Times New Roman" w:hAnsi="Arial" w:cs="Arial"/>
          <w:b/>
          <w:bCs/>
          <w:color w:val="212529"/>
          <w:u w:val="single"/>
          <w:lang w:eastAsia="fr-FR"/>
        </w:rPr>
        <w:t>Les immeubles qui n’ont pas de propriétaire connu et pour lesquels les taxes foncières n’ont pas été acquittées depuis plus de trois ans ou ont été acquittées par un tiers</w:t>
      </w:r>
      <w:bookmarkEnd w:id="3"/>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Rappel : la loi 3DS a mis un terme à la distinction entre immeubles soumis à la taxe foncière sur les propriétés bâties et immeubles soumis à la taxe foncière sur les propriétés non bâties.</w:t>
      </w:r>
    </w:p>
    <w:p w:rsidR="006862A2" w:rsidRPr="006862A2" w:rsidRDefault="006862A2" w:rsidP="006862A2">
      <w:pPr>
        <w:shd w:val="clear" w:color="auto" w:fill="FFFFFF"/>
        <w:spacing w:after="100" w:afterAutospacing="1" w:line="240" w:lineRule="auto"/>
        <w:outlineLvl w:val="3"/>
        <w:rPr>
          <w:rFonts w:ascii="Arial" w:eastAsia="Times New Roman" w:hAnsi="Arial" w:cs="Arial"/>
          <w:b/>
          <w:bCs/>
          <w:color w:val="212529"/>
          <w:lang w:eastAsia="fr-FR"/>
        </w:rPr>
      </w:pPr>
      <w:r w:rsidRPr="006862A2">
        <w:rPr>
          <w:rFonts w:ascii="Arial" w:eastAsia="Times New Roman" w:hAnsi="Arial" w:cs="Arial"/>
          <w:b/>
          <w:bCs/>
          <w:color w:val="212529"/>
          <w:lang w:eastAsia="fr-FR"/>
        </w:rPr>
        <w:t>1</w:t>
      </w:r>
      <w:r w:rsidRPr="006862A2">
        <w:rPr>
          <w:rFonts w:ascii="Arial" w:eastAsia="Times New Roman" w:hAnsi="Arial" w:cs="Arial"/>
          <w:b/>
          <w:bCs/>
          <w:color w:val="212529"/>
          <w:vertAlign w:val="superscript"/>
          <w:lang w:eastAsia="fr-FR"/>
        </w:rPr>
        <w:t>e</w:t>
      </w:r>
      <w:r w:rsidRPr="006862A2">
        <w:rPr>
          <w:rFonts w:ascii="Arial" w:eastAsia="Times New Roman" w:hAnsi="Arial" w:cs="Arial"/>
          <w:b/>
          <w:bCs/>
          <w:color w:val="212529"/>
          <w:lang w:eastAsia="fr-FR"/>
        </w:rPr>
        <w:t> condition : Le propriétaire de l’immeuble ne doit pas être connu.</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Il s’agit :</w:t>
      </w:r>
    </w:p>
    <w:p w:rsidR="006862A2" w:rsidRPr="006862A2" w:rsidRDefault="006862A2" w:rsidP="006862A2">
      <w:pPr>
        <w:numPr>
          <w:ilvl w:val="0"/>
          <w:numId w:val="7"/>
        </w:numPr>
        <w:shd w:val="clear" w:color="auto" w:fill="FFFFFF"/>
        <w:spacing w:before="100" w:beforeAutospacing="1"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des situations dans lesquelles, pour un immeuble déterminé, il n’existe aucun titre de propriété publié au fichier immobilier des services de la publicité foncière ou au livre foncier ni aucun document cadastral susceptible d’apporter des renseignements quant à l’identité du propriétaire ;</w:t>
      </w:r>
    </w:p>
    <w:p w:rsidR="006862A2" w:rsidRPr="006862A2" w:rsidRDefault="006862A2" w:rsidP="006862A2">
      <w:pPr>
        <w:numPr>
          <w:ilvl w:val="0"/>
          <w:numId w:val="7"/>
        </w:numPr>
        <w:shd w:val="clear" w:color="auto" w:fill="FFFFFF"/>
        <w:spacing w:before="100" w:beforeAutospacing="1"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highlight w:val="yellow"/>
          <w:lang w:eastAsia="fr-FR"/>
        </w:rPr>
        <w:t>des biens immobiliers ayant appartenu à une personne connue qui a disparu sans laisser de représentant identifié</w:t>
      </w:r>
      <w:r w:rsidRPr="006862A2">
        <w:rPr>
          <w:rFonts w:ascii="Arial" w:eastAsia="Times New Roman" w:hAnsi="Arial" w:cs="Arial"/>
          <w:color w:val="212529"/>
          <w:lang w:eastAsia="fr-FR"/>
        </w:rPr>
        <w:t>, et qui ne sont devenus la propriété d’aucune autre personne.</w:t>
      </w:r>
    </w:p>
    <w:p w:rsidR="006862A2" w:rsidRPr="006862A2" w:rsidRDefault="006862A2" w:rsidP="006862A2">
      <w:pPr>
        <w:shd w:val="clear" w:color="auto" w:fill="FFFFFF"/>
        <w:spacing w:after="100" w:afterAutospacing="1" w:line="240" w:lineRule="auto"/>
        <w:outlineLvl w:val="3"/>
        <w:rPr>
          <w:rFonts w:ascii="Arial" w:eastAsia="Times New Roman" w:hAnsi="Arial" w:cs="Arial"/>
          <w:b/>
          <w:bCs/>
          <w:color w:val="212529"/>
          <w:lang w:eastAsia="fr-FR"/>
        </w:rPr>
      </w:pPr>
      <w:r w:rsidRPr="006862A2">
        <w:rPr>
          <w:rFonts w:ascii="Arial" w:eastAsia="Times New Roman" w:hAnsi="Arial" w:cs="Arial"/>
          <w:b/>
          <w:bCs/>
          <w:color w:val="212529"/>
          <w:lang w:eastAsia="fr-FR"/>
        </w:rPr>
        <w:t>2</w:t>
      </w:r>
      <w:r w:rsidRPr="006862A2">
        <w:rPr>
          <w:rFonts w:ascii="Arial" w:eastAsia="Times New Roman" w:hAnsi="Arial" w:cs="Arial"/>
          <w:b/>
          <w:bCs/>
          <w:color w:val="212529"/>
          <w:vertAlign w:val="superscript"/>
          <w:lang w:eastAsia="fr-FR"/>
        </w:rPr>
        <w:t>e </w:t>
      </w:r>
      <w:r w:rsidRPr="006862A2">
        <w:rPr>
          <w:rFonts w:ascii="Arial" w:eastAsia="Times New Roman" w:hAnsi="Arial" w:cs="Arial"/>
          <w:b/>
          <w:bCs/>
          <w:color w:val="212529"/>
          <w:lang w:eastAsia="fr-FR"/>
        </w:rPr>
        <w:t>condition : Les taxes foncières  n’ont pas été acquittées depuis plus de trois années ou  ont été acquittées par un tiers.</w:t>
      </w:r>
    </w:p>
    <w:p w:rsidR="006862A2" w:rsidRPr="006862A2" w:rsidRDefault="006862A2" w:rsidP="00567444">
      <w:pPr>
        <w:shd w:val="clear" w:color="auto" w:fill="FFFFFF"/>
        <w:spacing w:after="0" w:line="240" w:lineRule="auto"/>
        <w:rPr>
          <w:rFonts w:ascii="Arial" w:eastAsia="Times New Roman" w:hAnsi="Arial" w:cs="Arial"/>
          <w:color w:val="212529"/>
          <w:lang w:eastAsia="fr-FR"/>
        </w:rPr>
      </w:pPr>
      <w:r w:rsidRPr="006862A2">
        <w:rPr>
          <w:rFonts w:ascii="Arial" w:eastAsia="Times New Roman" w:hAnsi="Arial" w:cs="Arial"/>
          <w:color w:val="212529"/>
          <w:lang w:eastAsia="fr-FR"/>
        </w:rPr>
        <w:t>La commune/l'EPCI ou à défaut le CELRL/le CREN/l’</w:t>
      </w:r>
      <w:proofErr w:type="spellStart"/>
      <w:r w:rsidRPr="006862A2">
        <w:rPr>
          <w:rFonts w:ascii="Arial" w:eastAsia="Times New Roman" w:hAnsi="Arial" w:cs="Arial"/>
          <w:color w:val="212529"/>
          <w:lang w:eastAsia="fr-FR"/>
        </w:rPr>
        <w:t>Etat</w:t>
      </w:r>
      <w:proofErr w:type="spellEnd"/>
      <w:r w:rsidRPr="006862A2">
        <w:rPr>
          <w:rFonts w:ascii="Arial" w:eastAsia="Times New Roman" w:hAnsi="Arial" w:cs="Arial"/>
          <w:color w:val="212529"/>
          <w:lang w:eastAsia="fr-FR"/>
        </w:rPr>
        <w:t>, ne peut appréhender les immeubles qui n’ont pas de propriétaire connu que lorsque les taxes foncières afférentes à l’immeuble n’ont pas été payées ou ont été payées par un tiers soucieux de pérenniser une situation de fait, en lieu et place de leur débiteur inconnu.</w:t>
      </w:r>
    </w:p>
    <w:p w:rsidR="006862A2" w:rsidRPr="006862A2" w:rsidRDefault="006862A2" w:rsidP="00567444">
      <w:pPr>
        <w:shd w:val="clear" w:color="auto" w:fill="FFFFFF"/>
        <w:spacing w:after="0" w:line="240" w:lineRule="auto"/>
        <w:rPr>
          <w:rFonts w:ascii="Arial" w:eastAsia="Times New Roman" w:hAnsi="Arial" w:cs="Arial"/>
          <w:color w:val="212529"/>
          <w:lang w:eastAsia="fr-FR"/>
        </w:rPr>
      </w:pPr>
      <w:r w:rsidRPr="006862A2">
        <w:rPr>
          <w:rFonts w:ascii="Arial" w:eastAsia="Times New Roman" w:hAnsi="Arial" w:cs="Arial"/>
          <w:color w:val="212529"/>
          <w:lang w:eastAsia="fr-FR"/>
        </w:rPr>
        <w:t>Cet item concerne les immeubles soumis à la taxe foncière sur les propriétés bâties et ceux soumis à la taxe foncière sur les propriétés non bâties, dont notamment les bois et forêts sans maître.</w:t>
      </w:r>
    </w:p>
    <w:p w:rsidR="006862A2" w:rsidRPr="006862A2" w:rsidRDefault="006862A2" w:rsidP="00567444">
      <w:pPr>
        <w:shd w:val="clear" w:color="auto" w:fill="FFFFFF"/>
        <w:spacing w:after="0" w:line="240" w:lineRule="auto"/>
        <w:rPr>
          <w:rFonts w:ascii="Arial" w:eastAsia="Times New Roman" w:hAnsi="Arial" w:cs="Arial"/>
          <w:color w:val="212529"/>
          <w:lang w:eastAsia="fr-FR"/>
        </w:rPr>
      </w:pPr>
      <w:r w:rsidRPr="006862A2">
        <w:rPr>
          <w:rFonts w:ascii="Arial" w:eastAsia="Times New Roman" w:hAnsi="Arial" w:cs="Arial"/>
          <w:color w:val="212529"/>
          <w:lang w:eastAsia="fr-FR"/>
        </w:rPr>
        <w:t>Ces dispositions ne font pas obstacle à l’application des règles du droit civil relatives à la prescription.</w:t>
      </w:r>
    </w:p>
    <w:p w:rsidR="006862A2" w:rsidRPr="006862A2" w:rsidRDefault="006862A2" w:rsidP="006862A2">
      <w:pPr>
        <w:shd w:val="clear" w:color="auto" w:fill="FFFFFF"/>
        <w:spacing w:before="100" w:beforeAutospacing="1" w:after="100" w:afterAutospacing="1" w:line="240" w:lineRule="auto"/>
        <w:jc w:val="center"/>
        <w:outlineLvl w:val="1"/>
        <w:rPr>
          <w:rFonts w:ascii="Arial" w:eastAsia="Times New Roman" w:hAnsi="Arial" w:cs="Arial"/>
          <w:b/>
          <w:bCs/>
          <w:color w:val="212529"/>
          <w:lang w:eastAsia="fr-FR"/>
        </w:rPr>
      </w:pPr>
      <w:bookmarkStart w:id="4" w:name="Modalités"/>
      <w:r w:rsidRPr="006862A2">
        <w:rPr>
          <w:rFonts w:ascii="Arial" w:eastAsia="Times New Roman" w:hAnsi="Arial" w:cs="Arial"/>
          <w:b/>
          <w:bCs/>
          <w:color w:val="212529"/>
          <w:u w:val="single"/>
          <w:lang w:eastAsia="fr-FR"/>
        </w:rPr>
        <w:t>Les modalités d’acquisition des biens sans maître</w:t>
      </w:r>
      <w:bookmarkEnd w:id="4"/>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S’agissant des modalités d’acquisition de ces biens par les personnes publiques éligibles, une distinction d’ordre procédural est maintenue entre les deux catégories de biens n’ayant pas de maître.</w:t>
      </w:r>
    </w:p>
    <w:p w:rsidR="006862A2" w:rsidRPr="006862A2" w:rsidRDefault="00567444" w:rsidP="006862A2">
      <w:pPr>
        <w:shd w:val="clear" w:color="auto" w:fill="FFFFFF"/>
        <w:spacing w:after="100" w:afterAutospacing="1" w:line="240" w:lineRule="auto"/>
        <w:rPr>
          <w:rFonts w:ascii="Arial" w:eastAsia="Times New Roman" w:hAnsi="Arial" w:cs="Arial"/>
          <w:color w:val="212529"/>
          <w:lang w:eastAsia="fr-FR"/>
        </w:rPr>
      </w:pPr>
      <w:r>
        <w:rPr>
          <w:rFonts w:ascii="Arial" w:eastAsia="Times New Roman" w:hAnsi="Arial" w:cs="Arial"/>
          <w:color w:val="212529"/>
          <w:lang w:eastAsia="fr-FR"/>
        </w:rPr>
        <w:lastRenderedPageBreak/>
        <w:t>En application des articles L1123-2 et L</w:t>
      </w:r>
      <w:r w:rsidR="006862A2" w:rsidRPr="006862A2">
        <w:rPr>
          <w:rFonts w:ascii="Arial" w:eastAsia="Times New Roman" w:hAnsi="Arial" w:cs="Arial"/>
          <w:color w:val="212529"/>
          <w:lang w:eastAsia="fr-FR"/>
        </w:rPr>
        <w:t xml:space="preserve">1123-3, les biens sans maître sont acquis par la commune </w:t>
      </w:r>
      <w:r>
        <w:rPr>
          <w:rFonts w:ascii="Arial" w:eastAsia="Times New Roman" w:hAnsi="Arial" w:cs="Arial"/>
          <w:color w:val="212529"/>
          <w:lang w:eastAsia="fr-FR"/>
        </w:rPr>
        <w:t>(</w:t>
      </w:r>
      <w:r w:rsidR="006862A2" w:rsidRPr="006862A2">
        <w:rPr>
          <w:rFonts w:ascii="Arial" w:eastAsia="Times New Roman" w:hAnsi="Arial" w:cs="Arial"/>
          <w:i/>
          <w:color w:val="212529"/>
          <w:lang w:eastAsia="fr-FR"/>
        </w:rPr>
        <w:t>ou l'EPCI, ou le CELRL, le CREN ou l’État</w:t>
      </w:r>
      <w:r w:rsidR="006862A2" w:rsidRPr="006862A2">
        <w:rPr>
          <w:rFonts w:ascii="Arial" w:eastAsia="Times New Roman" w:hAnsi="Arial" w:cs="Arial"/>
          <w:color w:val="212529"/>
          <w:lang w:eastAsia="fr-FR"/>
        </w:rPr>
        <w:t>,</w:t>
      </w:r>
      <w:r>
        <w:rPr>
          <w:rFonts w:ascii="Arial" w:eastAsia="Times New Roman" w:hAnsi="Arial" w:cs="Arial"/>
          <w:color w:val="212529"/>
          <w:lang w:eastAsia="fr-FR"/>
        </w:rPr>
        <w:t>)</w:t>
      </w:r>
      <w:r w:rsidR="006862A2" w:rsidRPr="006862A2">
        <w:rPr>
          <w:rFonts w:ascii="Arial" w:eastAsia="Times New Roman" w:hAnsi="Arial" w:cs="Arial"/>
          <w:color w:val="212529"/>
          <w:lang w:eastAsia="fr-FR"/>
        </w:rPr>
        <w:t xml:space="preserve"> soit de plein droit, soit au moyen d’une procédure spécifique (articles 713 du Code civil et L. 1123-2 du CG3P).</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A l’issue de l’enquête permettant de s’assurer que le bien qu’elle se propose d’appréhender est effectivement sans maître, la commune ou l'EPCI doit déterminer la procédure à mettre en œuvre pour incorporer le bien dans son domaine.</w:t>
      </w:r>
    </w:p>
    <w:p w:rsidR="006862A2" w:rsidRPr="006862A2" w:rsidRDefault="006862A2" w:rsidP="006862A2">
      <w:pPr>
        <w:shd w:val="clear" w:color="auto" w:fill="FFFFFF"/>
        <w:spacing w:after="100" w:afterAutospacing="1" w:line="240" w:lineRule="auto"/>
        <w:outlineLvl w:val="2"/>
        <w:rPr>
          <w:rFonts w:ascii="Arial" w:eastAsia="Times New Roman" w:hAnsi="Arial" w:cs="Arial"/>
          <w:b/>
          <w:bCs/>
          <w:color w:val="212529"/>
          <w:lang w:eastAsia="fr-FR"/>
        </w:rPr>
      </w:pPr>
      <w:bookmarkStart w:id="5" w:name="Acquisition_de_plein_droit"/>
      <w:r w:rsidRPr="006862A2">
        <w:rPr>
          <w:rFonts w:ascii="Arial" w:eastAsia="Times New Roman" w:hAnsi="Arial" w:cs="Arial"/>
          <w:b/>
          <w:bCs/>
          <w:color w:val="212529"/>
          <w:u w:val="single"/>
          <w:lang w:eastAsia="fr-FR"/>
        </w:rPr>
        <w:t>Acquisition de plein droit des immeubles sans maître « proprement dits »</w:t>
      </w:r>
      <w:bookmarkEnd w:id="5"/>
    </w:p>
    <w:p w:rsidR="006862A2" w:rsidRPr="006862A2" w:rsidRDefault="006862A2" w:rsidP="006862A2">
      <w:pPr>
        <w:shd w:val="clear" w:color="auto" w:fill="FFFFFF"/>
        <w:spacing w:after="100" w:afterAutospacing="1" w:line="240" w:lineRule="auto"/>
        <w:rPr>
          <w:rFonts w:ascii="Arial" w:eastAsia="Times New Roman" w:hAnsi="Arial" w:cs="Arial"/>
          <w:i/>
          <w:color w:val="212529"/>
          <w:lang w:eastAsia="fr-FR"/>
        </w:rPr>
      </w:pPr>
      <w:r w:rsidRPr="006862A2">
        <w:rPr>
          <w:rFonts w:ascii="Arial" w:eastAsia="Times New Roman" w:hAnsi="Arial" w:cs="Arial"/>
          <w:color w:val="212529"/>
          <w:lang w:eastAsia="fr-FR"/>
        </w:rPr>
        <w:t>Le principe est celui de l’acquisition de</w:t>
      </w:r>
      <w:r w:rsidRPr="006862A2">
        <w:rPr>
          <w:rFonts w:ascii="Arial" w:eastAsia="Times New Roman" w:hAnsi="Arial" w:cs="Arial"/>
          <w:b/>
          <w:bCs/>
          <w:color w:val="212529"/>
          <w:lang w:eastAsia="fr-FR"/>
        </w:rPr>
        <w:t> plein droit</w:t>
      </w:r>
      <w:r w:rsidRPr="006862A2">
        <w:rPr>
          <w:rFonts w:ascii="Arial" w:eastAsia="Times New Roman" w:hAnsi="Arial" w:cs="Arial"/>
          <w:color w:val="212529"/>
          <w:lang w:eastAsia="fr-FR"/>
        </w:rPr>
        <w:t xml:space="preserve"> par les communes/EPCI </w:t>
      </w:r>
      <w:r w:rsidR="00567444" w:rsidRPr="00567444">
        <w:rPr>
          <w:rFonts w:ascii="Arial" w:eastAsia="Times New Roman" w:hAnsi="Arial" w:cs="Arial"/>
          <w:i/>
          <w:color w:val="212529"/>
          <w:lang w:eastAsia="fr-FR"/>
        </w:rPr>
        <w:t>(</w:t>
      </w:r>
      <w:r w:rsidRPr="006862A2">
        <w:rPr>
          <w:rFonts w:ascii="Arial" w:eastAsia="Times New Roman" w:hAnsi="Arial" w:cs="Arial"/>
          <w:i/>
          <w:color w:val="212529"/>
          <w:lang w:eastAsia="fr-FR"/>
        </w:rPr>
        <w:t>ou, à défaut, par le CELRL, le CREN ou l’</w:t>
      </w:r>
      <w:proofErr w:type="spellStart"/>
      <w:r w:rsidRPr="006862A2">
        <w:rPr>
          <w:rFonts w:ascii="Arial" w:eastAsia="Times New Roman" w:hAnsi="Arial" w:cs="Arial"/>
          <w:i/>
          <w:color w:val="212529"/>
          <w:lang w:eastAsia="fr-FR"/>
        </w:rPr>
        <w:t>Etat</w:t>
      </w:r>
      <w:proofErr w:type="spellEnd"/>
      <w:r w:rsidRPr="006862A2">
        <w:rPr>
          <w:rFonts w:ascii="Arial" w:eastAsia="Times New Roman" w:hAnsi="Arial" w:cs="Arial"/>
          <w:i/>
          <w:color w:val="212529"/>
          <w:lang w:eastAsia="fr-FR"/>
        </w:rPr>
        <w:t>.</w:t>
      </w:r>
      <w:r w:rsidR="00567444" w:rsidRPr="00567444">
        <w:rPr>
          <w:rFonts w:ascii="Arial" w:eastAsia="Times New Roman" w:hAnsi="Arial" w:cs="Arial"/>
          <w:i/>
          <w:color w:val="212529"/>
          <w:lang w:eastAsia="fr-FR"/>
        </w:rPr>
        <w:t>)</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 xml:space="preserve">Cependant, ce régime d'appropriation est cantonné aux biens mentionnés </w:t>
      </w:r>
      <w:r w:rsidRPr="006862A2">
        <w:rPr>
          <w:rFonts w:ascii="Arial" w:eastAsia="Times New Roman" w:hAnsi="Arial" w:cs="Arial"/>
          <w:color w:val="212529"/>
          <w:highlight w:val="yellow"/>
          <w:lang w:eastAsia="fr-FR"/>
        </w:rPr>
        <w:t>au 1° de l’article L. 1123-1, c’est-à-dire à ceux qui font partie d’une succession ouverte depuis plus de trente ans, ou dix ans le cas échéant, et pour laquelle aucun successible ne s’est présenté</w:t>
      </w:r>
      <w:r w:rsidRPr="006862A2">
        <w:rPr>
          <w:rFonts w:ascii="Arial" w:eastAsia="Times New Roman" w:hAnsi="Arial" w:cs="Arial"/>
          <w:color w:val="212529"/>
          <w:lang w:eastAsia="fr-FR"/>
        </w:rPr>
        <w:t>.</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La loi ne prévoit aucune formalité particulière pour l’appréhension de cette catégorie de biens.</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En pratique toutefois, dans le cas d’un transfert du bien dans le domaine de l’</w:t>
      </w:r>
      <w:proofErr w:type="spellStart"/>
      <w:r w:rsidRPr="006862A2">
        <w:rPr>
          <w:rFonts w:ascii="Arial" w:eastAsia="Times New Roman" w:hAnsi="Arial" w:cs="Arial"/>
          <w:color w:val="212529"/>
          <w:lang w:eastAsia="fr-FR"/>
        </w:rPr>
        <w:t>Etat</w:t>
      </w:r>
      <w:proofErr w:type="spellEnd"/>
      <w:r w:rsidRPr="006862A2">
        <w:rPr>
          <w:rFonts w:ascii="Arial" w:eastAsia="Times New Roman" w:hAnsi="Arial" w:cs="Arial"/>
          <w:color w:val="212529"/>
          <w:lang w:eastAsia="fr-FR"/>
        </w:rPr>
        <w:t>, il sera recouru à un arrêté préfectoral pour constater ce transfert.</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highlight w:val="yellow"/>
          <w:lang w:eastAsia="fr-FR"/>
        </w:rPr>
        <w:t>S’agissant des communes</w:t>
      </w:r>
      <w:r w:rsidRPr="006862A2">
        <w:rPr>
          <w:rFonts w:ascii="Arial" w:eastAsia="Times New Roman" w:hAnsi="Arial" w:cs="Arial"/>
          <w:color w:val="212529"/>
          <w:lang w:eastAsia="fr-FR"/>
        </w:rPr>
        <w:t xml:space="preserve">, des ECPI, du CELRL ou des CREN, </w:t>
      </w:r>
      <w:r w:rsidRPr="006862A2">
        <w:rPr>
          <w:rFonts w:ascii="Arial" w:eastAsia="Times New Roman" w:hAnsi="Arial" w:cs="Arial"/>
          <w:color w:val="212529"/>
          <w:highlight w:val="yellow"/>
          <w:lang w:eastAsia="fr-FR"/>
        </w:rPr>
        <w:t>il paraît prudent</w:t>
      </w:r>
      <w:r w:rsidRPr="006862A2">
        <w:rPr>
          <w:rFonts w:ascii="Arial" w:eastAsia="Times New Roman" w:hAnsi="Arial" w:cs="Arial"/>
          <w:color w:val="212529"/>
          <w:lang w:eastAsia="fr-FR"/>
        </w:rPr>
        <w:t xml:space="preserve">, afin d’éviter toute difficulté ultérieure, que ces collectivités et établissements prennent </w:t>
      </w:r>
      <w:r w:rsidRPr="006862A2">
        <w:rPr>
          <w:rFonts w:ascii="Arial" w:eastAsia="Times New Roman" w:hAnsi="Arial" w:cs="Arial"/>
          <w:color w:val="212529"/>
          <w:highlight w:val="yellow"/>
          <w:lang w:eastAsia="fr-FR"/>
        </w:rPr>
        <w:t>une délibération permettant de formaliser l'acquisition envisagée.</w:t>
      </w:r>
    </w:p>
    <w:p w:rsidR="006862A2" w:rsidRPr="006862A2" w:rsidRDefault="006862A2" w:rsidP="006862A2">
      <w:pPr>
        <w:shd w:val="clear" w:color="auto" w:fill="FFFFFF"/>
        <w:spacing w:after="100" w:afterAutospacing="1" w:line="240" w:lineRule="auto"/>
        <w:outlineLvl w:val="2"/>
        <w:rPr>
          <w:rFonts w:ascii="Arial" w:eastAsia="Times New Roman" w:hAnsi="Arial" w:cs="Arial"/>
          <w:b/>
          <w:bCs/>
          <w:color w:val="212529"/>
          <w:lang w:eastAsia="fr-FR"/>
        </w:rPr>
      </w:pPr>
      <w:bookmarkStart w:id="6" w:name="Acquisition_selon_les_modalités"/>
      <w:r w:rsidRPr="006862A2">
        <w:rPr>
          <w:rFonts w:ascii="Arial" w:eastAsia="Times New Roman" w:hAnsi="Arial" w:cs="Arial"/>
          <w:b/>
          <w:bCs/>
          <w:color w:val="212529"/>
          <w:u w:val="single"/>
          <w:lang w:eastAsia="fr-FR"/>
        </w:rPr>
        <w:t>Acquisition selon les m</w:t>
      </w:r>
      <w:r w:rsidR="00567444">
        <w:rPr>
          <w:rFonts w:ascii="Arial" w:eastAsia="Times New Roman" w:hAnsi="Arial" w:cs="Arial"/>
          <w:b/>
          <w:bCs/>
          <w:color w:val="212529"/>
          <w:u w:val="single"/>
          <w:lang w:eastAsia="fr-FR"/>
        </w:rPr>
        <w:t>odalités prévues à l’article L</w:t>
      </w:r>
      <w:r w:rsidRPr="006862A2">
        <w:rPr>
          <w:rFonts w:ascii="Arial" w:eastAsia="Times New Roman" w:hAnsi="Arial" w:cs="Arial"/>
          <w:b/>
          <w:bCs/>
          <w:color w:val="212529"/>
          <w:u w:val="single"/>
          <w:lang w:eastAsia="fr-FR"/>
        </w:rPr>
        <w:t>1123-3 du CG3P des immeubles présumés sans maître</w:t>
      </w:r>
      <w:bookmarkEnd w:id="6"/>
    </w:p>
    <w:p w:rsidR="006862A2" w:rsidRPr="006862A2" w:rsidRDefault="006862A2" w:rsidP="006862A2">
      <w:pPr>
        <w:shd w:val="clear" w:color="auto" w:fill="FFFFFF"/>
        <w:spacing w:after="100" w:afterAutospacing="1" w:line="240" w:lineRule="auto"/>
        <w:outlineLvl w:val="3"/>
        <w:rPr>
          <w:rFonts w:ascii="Arial" w:eastAsia="Times New Roman" w:hAnsi="Arial" w:cs="Arial"/>
          <w:b/>
          <w:bCs/>
          <w:color w:val="212529"/>
          <w:lang w:eastAsia="fr-FR"/>
        </w:rPr>
      </w:pPr>
      <w:r w:rsidRPr="006862A2">
        <w:rPr>
          <w:rFonts w:ascii="Arial" w:eastAsia="Times New Roman" w:hAnsi="Arial" w:cs="Arial"/>
          <w:b/>
          <w:bCs/>
          <w:color w:val="212529"/>
          <w:lang w:eastAsia="fr-FR"/>
        </w:rPr>
        <w:t>Cham</w:t>
      </w:r>
      <w:r w:rsidR="00567444">
        <w:rPr>
          <w:rFonts w:ascii="Arial" w:eastAsia="Times New Roman" w:hAnsi="Arial" w:cs="Arial"/>
          <w:b/>
          <w:bCs/>
          <w:color w:val="212529"/>
          <w:lang w:eastAsia="fr-FR"/>
        </w:rPr>
        <w:t>p d’application de l’article L</w:t>
      </w:r>
      <w:r w:rsidRPr="006862A2">
        <w:rPr>
          <w:rFonts w:ascii="Arial" w:eastAsia="Times New Roman" w:hAnsi="Arial" w:cs="Arial"/>
          <w:b/>
          <w:bCs/>
          <w:color w:val="212529"/>
          <w:lang w:eastAsia="fr-FR"/>
        </w:rPr>
        <w:t>1123-3</w:t>
      </w:r>
    </w:p>
    <w:p w:rsidR="006862A2" w:rsidRPr="006862A2" w:rsidRDefault="006862A2" w:rsidP="00567444">
      <w:pPr>
        <w:shd w:val="clear" w:color="auto" w:fill="FFFFFF"/>
        <w:spacing w:after="0" w:line="240" w:lineRule="auto"/>
        <w:rPr>
          <w:rFonts w:ascii="Arial" w:eastAsia="Times New Roman" w:hAnsi="Arial" w:cs="Arial"/>
          <w:color w:val="212529"/>
          <w:lang w:eastAsia="fr-FR"/>
        </w:rPr>
      </w:pPr>
      <w:r w:rsidRPr="006862A2">
        <w:rPr>
          <w:rFonts w:ascii="Arial" w:eastAsia="Times New Roman" w:hAnsi="Arial" w:cs="Arial"/>
          <w:color w:val="212529"/>
          <w:lang w:eastAsia="fr-FR"/>
        </w:rPr>
        <w:t>Il est constitué des immeubles pour lesquels, depuis plus de trois ans, les taxes foncières ont été acquittées par un tiers ou n’ont pas été acquittées, soit parce qu’elles font l’objet d’une exonération, soit parce que la cotisation due est inférieure au seuil de mise en recouvrement (art. L. 1123-3).</w:t>
      </w:r>
    </w:p>
    <w:p w:rsidR="006862A2" w:rsidRPr="006862A2" w:rsidRDefault="006862A2" w:rsidP="00567444">
      <w:pPr>
        <w:shd w:val="clear" w:color="auto" w:fill="FFFFFF"/>
        <w:spacing w:after="0" w:line="240" w:lineRule="auto"/>
        <w:rPr>
          <w:rFonts w:ascii="Arial" w:eastAsia="Times New Roman" w:hAnsi="Arial" w:cs="Arial"/>
          <w:color w:val="212529"/>
          <w:lang w:eastAsia="fr-FR"/>
        </w:rPr>
      </w:pPr>
      <w:r w:rsidRPr="006862A2">
        <w:rPr>
          <w:rFonts w:ascii="Arial" w:eastAsia="Times New Roman" w:hAnsi="Arial" w:cs="Arial"/>
          <w:color w:val="212529"/>
          <w:lang w:eastAsia="fr-FR"/>
        </w:rPr>
        <w:t>Ainsi, le paiement des taxes foncières par un tiers ne peut pas faire obstacle au déclenchement de la procédure de constatation de la vacance.</w:t>
      </w:r>
    </w:p>
    <w:p w:rsidR="00567444" w:rsidRDefault="00567444" w:rsidP="006862A2">
      <w:pPr>
        <w:shd w:val="clear" w:color="auto" w:fill="FFFFFF"/>
        <w:spacing w:after="100" w:afterAutospacing="1" w:line="240" w:lineRule="auto"/>
        <w:outlineLvl w:val="3"/>
        <w:rPr>
          <w:rFonts w:ascii="Arial" w:eastAsia="Times New Roman" w:hAnsi="Arial" w:cs="Arial"/>
          <w:b/>
          <w:bCs/>
          <w:color w:val="212529"/>
          <w:lang w:eastAsia="fr-FR"/>
        </w:rPr>
      </w:pPr>
    </w:p>
    <w:p w:rsidR="006862A2" w:rsidRPr="006862A2" w:rsidRDefault="006862A2" w:rsidP="006862A2">
      <w:pPr>
        <w:shd w:val="clear" w:color="auto" w:fill="FFFFFF"/>
        <w:spacing w:after="100" w:afterAutospacing="1" w:line="240" w:lineRule="auto"/>
        <w:outlineLvl w:val="3"/>
        <w:rPr>
          <w:rFonts w:ascii="Arial" w:eastAsia="Times New Roman" w:hAnsi="Arial" w:cs="Arial"/>
          <w:b/>
          <w:bCs/>
          <w:color w:val="212529"/>
          <w:lang w:eastAsia="fr-FR"/>
        </w:rPr>
      </w:pPr>
      <w:r w:rsidRPr="006862A2">
        <w:rPr>
          <w:rFonts w:ascii="Arial" w:eastAsia="Times New Roman" w:hAnsi="Arial" w:cs="Arial"/>
          <w:b/>
          <w:bCs/>
          <w:color w:val="212529"/>
          <w:lang w:eastAsia="fr-FR"/>
        </w:rPr>
        <w:t>Mise en œuvre de la procédure d’acquisition</w:t>
      </w:r>
    </w:p>
    <w:p w:rsidR="006862A2" w:rsidRPr="006862A2" w:rsidRDefault="006862A2" w:rsidP="006862A2">
      <w:pPr>
        <w:shd w:val="clear" w:color="auto" w:fill="FFFFFF"/>
        <w:spacing w:after="100" w:afterAutospacing="1" w:line="240" w:lineRule="auto"/>
        <w:outlineLvl w:val="4"/>
        <w:rPr>
          <w:rFonts w:ascii="Arial" w:eastAsia="Times New Roman" w:hAnsi="Arial" w:cs="Arial"/>
          <w:b/>
          <w:bCs/>
          <w:color w:val="212529"/>
          <w:lang w:eastAsia="fr-FR"/>
        </w:rPr>
      </w:pPr>
      <w:r w:rsidRPr="006862A2">
        <w:rPr>
          <w:rFonts w:ascii="Arial" w:eastAsia="Times New Roman" w:hAnsi="Arial" w:cs="Arial"/>
          <w:b/>
          <w:bCs/>
          <w:color w:val="212529"/>
          <w:lang w:eastAsia="fr-FR"/>
        </w:rPr>
        <w:t>Procédure poursuivie par la commune ou l'EPCI</w:t>
      </w:r>
    </w:p>
    <w:p w:rsidR="006862A2" w:rsidRPr="006862A2" w:rsidRDefault="006862A2" w:rsidP="006862A2">
      <w:pPr>
        <w:shd w:val="clear" w:color="auto" w:fill="FFFFFF"/>
        <w:spacing w:after="100" w:afterAutospacing="1" w:line="240" w:lineRule="auto"/>
        <w:rPr>
          <w:rFonts w:ascii="Arial" w:eastAsia="Times New Roman" w:hAnsi="Arial" w:cs="Arial"/>
          <w:i/>
          <w:color w:val="212529"/>
          <w:lang w:eastAsia="fr-FR"/>
        </w:rPr>
      </w:pPr>
      <w:r w:rsidRPr="006862A2">
        <w:rPr>
          <w:rFonts w:ascii="Arial" w:eastAsia="Times New Roman" w:hAnsi="Arial" w:cs="Arial"/>
          <w:color w:val="212529"/>
          <w:lang w:eastAsia="fr-FR"/>
        </w:rPr>
        <w:t xml:space="preserve">La procédure d’appréhension comporte deux phases. </w:t>
      </w:r>
      <w:r w:rsidRPr="006862A2">
        <w:rPr>
          <w:rFonts w:ascii="Arial" w:eastAsia="Times New Roman" w:hAnsi="Arial" w:cs="Arial"/>
          <w:color w:val="212529"/>
          <w:highlight w:val="yellow"/>
          <w:lang w:eastAsia="fr-FR"/>
        </w:rPr>
        <w:t>La commune ou l'EPCI doit d’abord constater que le bien est présumé sans maître (avis de la commission communale/intercommunale des impôts directs, arrêté du maire ou du président de l'EPCI constatant l’absence de propriétaire connu et de paiement des contributions foncières ou leur paiement par un tiers et accomplissement des mesures de publication et d’affichage de l’arrêté)</w:t>
      </w:r>
      <w:r w:rsidRPr="006862A2">
        <w:rPr>
          <w:rFonts w:ascii="Arial" w:eastAsia="Times New Roman" w:hAnsi="Arial" w:cs="Arial"/>
          <w:color w:val="212529"/>
          <w:lang w:eastAsia="fr-FR"/>
        </w:rPr>
        <w:t xml:space="preserve"> (</w:t>
      </w:r>
      <w:r w:rsidRPr="006862A2">
        <w:rPr>
          <w:rFonts w:ascii="Arial" w:eastAsia="Times New Roman" w:hAnsi="Arial" w:cs="Arial"/>
          <w:i/>
          <w:color w:val="212529"/>
          <w:lang w:eastAsia="fr-FR"/>
        </w:rPr>
        <w:t>article L. 1123-3 al. 2).</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lastRenderedPageBreak/>
        <w:t xml:space="preserve">Compte tenu du champ d’application étendu de la procédure, </w:t>
      </w:r>
      <w:r w:rsidRPr="006862A2">
        <w:rPr>
          <w:rFonts w:ascii="Arial" w:eastAsia="Times New Roman" w:hAnsi="Arial" w:cs="Arial"/>
          <w:color w:val="212529"/>
          <w:highlight w:val="yellow"/>
          <w:lang w:eastAsia="fr-FR"/>
        </w:rPr>
        <w:t>cet arrêté du maire ou du président de l'EPCI doit être notifié,</w:t>
      </w:r>
      <w:r w:rsidRPr="006862A2">
        <w:rPr>
          <w:rFonts w:ascii="Arial" w:eastAsia="Times New Roman" w:hAnsi="Arial" w:cs="Arial"/>
          <w:color w:val="212529"/>
          <w:lang w:eastAsia="fr-FR"/>
        </w:rPr>
        <w:t xml:space="preserve"> non seulement au dernier propriétaire connu et à l’habitant ou l’exploitant, mais aussi, s’il y a lieu, au tiers qui a acquitté les taxes foncières.</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Il est également notifié au représentant de l’</w:t>
      </w:r>
      <w:proofErr w:type="spellStart"/>
      <w:r w:rsidRPr="006862A2">
        <w:rPr>
          <w:rFonts w:ascii="Arial" w:eastAsia="Times New Roman" w:hAnsi="Arial" w:cs="Arial"/>
          <w:color w:val="212529"/>
          <w:lang w:eastAsia="fr-FR"/>
        </w:rPr>
        <w:t>Etat</w:t>
      </w:r>
      <w:proofErr w:type="spellEnd"/>
      <w:r w:rsidRPr="006862A2">
        <w:rPr>
          <w:rFonts w:ascii="Arial" w:eastAsia="Times New Roman" w:hAnsi="Arial" w:cs="Arial"/>
          <w:color w:val="212529"/>
          <w:lang w:eastAsia="fr-FR"/>
        </w:rPr>
        <w:t xml:space="preserve"> dans le département.</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 xml:space="preserve">Puis, </w:t>
      </w:r>
      <w:r w:rsidRPr="006862A2">
        <w:rPr>
          <w:rFonts w:ascii="Arial" w:eastAsia="Times New Roman" w:hAnsi="Arial" w:cs="Arial"/>
          <w:color w:val="212529"/>
          <w:highlight w:val="yellow"/>
          <w:lang w:eastAsia="fr-FR"/>
        </w:rPr>
        <w:t>si aucun propriétaire ne s’est fait connaître dans un délai de six mois après l’accomplissement de la dernière des mesures de publicité,  l’immeuble étant présumé sans maître, une délibération du conseil municipal</w:t>
      </w:r>
      <w:r w:rsidRPr="006862A2">
        <w:rPr>
          <w:rFonts w:ascii="Arial" w:eastAsia="Times New Roman" w:hAnsi="Arial" w:cs="Arial"/>
          <w:color w:val="212529"/>
          <w:lang w:eastAsia="fr-FR"/>
        </w:rPr>
        <w:t xml:space="preserve"> ou de l'organe délibérant de l'EPCI peut décider de son incorporation dans son domaine et </w:t>
      </w:r>
      <w:r w:rsidRPr="006862A2">
        <w:rPr>
          <w:rFonts w:ascii="Arial" w:eastAsia="Times New Roman" w:hAnsi="Arial" w:cs="Arial"/>
          <w:color w:val="212529"/>
          <w:highlight w:val="yellow"/>
          <w:lang w:eastAsia="fr-FR"/>
        </w:rPr>
        <w:t>un arrêté du maire ou du président de l'EPCI le constate par suite</w:t>
      </w:r>
      <w:r w:rsidRPr="006862A2">
        <w:rPr>
          <w:rFonts w:ascii="Arial" w:eastAsia="Times New Roman" w:hAnsi="Arial" w:cs="Arial"/>
          <w:color w:val="212529"/>
          <w:lang w:eastAsia="fr-FR"/>
        </w:rPr>
        <w:t xml:space="preserve"> </w:t>
      </w:r>
      <w:r w:rsidRPr="006862A2">
        <w:rPr>
          <w:rFonts w:ascii="Arial" w:eastAsia="Times New Roman" w:hAnsi="Arial" w:cs="Arial"/>
          <w:i/>
          <w:color w:val="212529"/>
          <w:lang w:eastAsia="fr-FR"/>
        </w:rPr>
        <w:t>(</w:t>
      </w:r>
      <w:hyperlink r:id="rId27" w:tgtFrame="_blank" w:tooltip="Ouvrir « article L. 1123-3 » dans une nouvelle fenêtre" w:history="1">
        <w:r w:rsidR="002830A9">
          <w:rPr>
            <w:rFonts w:ascii="Arial" w:eastAsia="Times New Roman" w:hAnsi="Arial" w:cs="Arial"/>
            <w:i/>
            <w:color w:val="3054B8"/>
            <w:u w:val="single"/>
            <w:lang w:eastAsia="fr-FR"/>
          </w:rPr>
          <w:t>article L</w:t>
        </w:r>
        <w:r w:rsidRPr="002830A9">
          <w:rPr>
            <w:rFonts w:ascii="Arial" w:eastAsia="Times New Roman" w:hAnsi="Arial" w:cs="Arial"/>
            <w:i/>
            <w:color w:val="3054B8"/>
            <w:u w:val="single"/>
            <w:lang w:eastAsia="fr-FR"/>
          </w:rPr>
          <w:t>1123-3</w:t>
        </w:r>
      </w:hyperlink>
      <w:r w:rsidRPr="006862A2">
        <w:rPr>
          <w:rFonts w:ascii="Arial" w:eastAsia="Times New Roman" w:hAnsi="Arial" w:cs="Arial"/>
          <w:i/>
          <w:color w:val="212529"/>
          <w:lang w:eastAsia="fr-FR"/>
        </w:rPr>
        <w:t> al. 4).</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L'administration fiscale transmet au maire ou au président de l’établissement public de coopération intercommunale à fiscalité propre, à leur demande, les informations nécessaires à la mise en œuvre de la procédure d’acquisition par ces derniers (</w:t>
      </w:r>
      <w:hyperlink r:id="rId28" w:tgtFrame="_blank" w:tooltip="Ouvrir « art. L. 1123-3-II » dans une nouvelle fenêtre" w:history="1">
        <w:r w:rsidR="002830A9">
          <w:rPr>
            <w:rFonts w:ascii="Arial" w:eastAsia="Times New Roman" w:hAnsi="Arial" w:cs="Arial"/>
            <w:color w:val="3054B8"/>
            <w:u w:val="single"/>
            <w:lang w:eastAsia="fr-FR"/>
          </w:rPr>
          <w:t>art. L</w:t>
        </w:r>
        <w:r w:rsidRPr="006862A2">
          <w:rPr>
            <w:rFonts w:ascii="Arial" w:eastAsia="Times New Roman" w:hAnsi="Arial" w:cs="Arial"/>
            <w:color w:val="3054B8"/>
            <w:u w:val="single"/>
            <w:lang w:eastAsia="fr-FR"/>
          </w:rPr>
          <w:t>1123-3-II</w:t>
        </w:r>
      </w:hyperlink>
      <w:r w:rsidRPr="006862A2">
        <w:rPr>
          <w:rFonts w:ascii="Arial" w:eastAsia="Times New Roman" w:hAnsi="Arial" w:cs="Arial"/>
          <w:color w:val="212529"/>
          <w:lang w:eastAsia="fr-FR"/>
        </w:rPr>
        <w:t>).</w:t>
      </w:r>
    </w:p>
    <w:p w:rsidR="006862A2" w:rsidRPr="006862A2" w:rsidRDefault="006862A2" w:rsidP="006862A2">
      <w:pPr>
        <w:shd w:val="clear" w:color="auto" w:fill="FFFFFF"/>
        <w:spacing w:after="100" w:afterAutospacing="1" w:line="240" w:lineRule="auto"/>
        <w:outlineLvl w:val="4"/>
        <w:rPr>
          <w:rFonts w:ascii="Arial" w:eastAsia="Times New Roman" w:hAnsi="Arial" w:cs="Arial"/>
          <w:b/>
          <w:bCs/>
          <w:color w:val="212529"/>
          <w:lang w:eastAsia="fr-FR"/>
        </w:rPr>
      </w:pPr>
      <w:r w:rsidRPr="006862A2">
        <w:rPr>
          <w:rFonts w:ascii="Arial" w:eastAsia="Times New Roman" w:hAnsi="Arial" w:cs="Arial"/>
          <w:b/>
          <w:bCs/>
          <w:color w:val="212529"/>
          <w:lang w:eastAsia="fr-FR"/>
        </w:rPr>
        <w:t>Procédure poursuivie par le CELRL, le CREN ou l’État</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A défaut de délibération portant incorporation dans le domaine communal ou de l'EPCI prise dans le délai de 6 mois à compter de la date à laquelle il a été constaté que le bien est présumé sans maître, la propriété du bien est attribuée au CELRL ou au CREN ou à défaut à l’</w:t>
      </w:r>
      <w:proofErr w:type="spellStart"/>
      <w:r w:rsidRPr="006862A2">
        <w:rPr>
          <w:rFonts w:ascii="Arial" w:eastAsia="Times New Roman" w:hAnsi="Arial" w:cs="Arial"/>
          <w:color w:val="212529"/>
          <w:lang w:eastAsia="fr-FR"/>
        </w:rPr>
        <w:t>Etat</w:t>
      </w:r>
      <w:proofErr w:type="spellEnd"/>
      <w:r w:rsidRPr="006862A2">
        <w:rPr>
          <w:rFonts w:ascii="Arial" w:eastAsia="Times New Roman" w:hAnsi="Arial" w:cs="Arial"/>
          <w:color w:val="212529"/>
          <w:lang w:eastAsia="fr-FR"/>
        </w:rPr>
        <w:t xml:space="preserve"> et son transfert dans le domaine de ces personnes est constaté par une décision de l'établissement, ou un arrêté préfectoral qui est publié au fichier immobilier (’article L. 1123-3 al. 5).</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Les bois et forêts acquis dans les conditions de l’article L. 1123-3 sont soumis au régime forestier prévu à l'article L. 211-1 du code forestier à l'expiration d'un délai de 5 ans à compter soit de son incorporation dans le domaine communal, soit de son transfert dans le domaine de l'</w:t>
      </w:r>
      <w:proofErr w:type="spellStart"/>
      <w:r w:rsidRPr="006862A2">
        <w:rPr>
          <w:rFonts w:ascii="Arial" w:eastAsia="Times New Roman" w:hAnsi="Arial" w:cs="Arial"/>
          <w:color w:val="212529"/>
          <w:lang w:eastAsia="fr-FR"/>
        </w:rPr>
        <w:t>Etat</w:t>
      </w:r>
      <w:proofErr w:type="spellEnd"/>
      <w:r w:rsidRPr="006862A2">
        <w:rPr>
          <w:rFonts w:ascii="Arial" w:eastAsia="Times New Roman" w:hAnsi="Arial" w:cs="Arial"/>
          <w:color w:val="212529"/>
          <w:lang w:eastAsia="fr-FR"/>
        </w:rPr>
        <w:t>. Avant l’expiration de ce délai, il peut être procédé à toute opération foncière.</w:t>
      </w:r>
    </w:p>
    <w:p w:rsidR="006862A2" w:rsidRPr="006862A2" w:rsidRDefault="006862A2" w:rsidP="006862A2">
      <w:pPr>
        <w:shd w:val="clear" w:color="auto" w:fill="FFFFFF"/>
        <w:spacing w:before="100" w:beforeAutospacing="1" w:after="100" w:afterAutospacing="1" w:line="240" w:lineRule="auto"/>
        <w:jc w:val="center"/>
        <w:outlineLvl w:val="1"/>
        <w:rPr>
          <w:rFonts w:ascii="Arial" w:eastAsia="Times New Roman" w:hAnsi="Arial" w:cs="Arial"/>
          <w:b/>
          <w:bCs/>
          <w:color w:val="212529"/>
          <w:lang w:eastAsia="fr-FR"/>
        </w:rPr>
      </w:pPr>
      <w:bookmarkStart w:id="7" w:name="Modalités_de_revendication"/>
      <w:r w:rsidRPr="006862A2">
        <w:rPr>
          <w:rFonts w:ascii="Arial" w:eastAsia="Times New Roman" w:hAnsi="Arial" w:cs="Arial"/>
          <w:b/>
          <w:bCs/>
          <w:color w:val="212529"/>
          <w:u w:val="single"/>
          <w:lang w:eastAsia="fr-FR"/>
        </w:rPr>
        <w:t>Les modalités de revendication des immeubles sans maître</w:t>
      </w:r>
      <w:bookmarkEnd w:id="7"/>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En application du droit commun, dans le cas où le propriétaire initial du bien ou ses ayants droit se manifesteraient postérieurement à la date d’acquisition de ce bien par une personne publique, dans les limites de la prescription trentenaire, celle-ci a l’obligation de le restituer.</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Toutefois, dans certaines situations, par exception à ce principe, le droit du propriétaire ou de l’ayant-droit à exiger la restitution en nature du bien peut être aménagé si le bien a été aliéné ou utilisé d’une manière ne permettant pas cette restitution (par exemple, immeuble utilisé par un service de l’État ou un établissement public national).</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Tel est le cas :</w:t>
      </w:r>
    </w:p>
    <w:p w:rsidR="006862A2" w:rsidRPr="006862A2" w:rsidRDefault="006862A2" w:rsidP="006862A2">
      <w:pPr>
        <w:numPr>
          <w:ilvl w:val="0"/>
          <w:numId w:val="8"/>
        </w:numPr>
        <w:shd w:val="clear" w:color="auto" w:fill="FFFFFF"/>
        <w:spacing w:before="100" w:beforeAutospacing="1"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 xml:space="preserve">lorsque les biens ont été acquis à l’issue de la </w:t>
      </w:r>
      <w:r w:rsidR="002830A9">
        <w:rPr>
          <w:rFonts w:ascii="Arial" w:eastAsia="Times New Roman" w:hAnsi="Arial" w:cs="Arial"/>
          <w:color w:val="212529"/>
          <w:lang w:eastAsia="fr-FR"/>
        </w:rPr>
        <w:t>procédure prévue à l’article L</w:t>
      </w:r>
      <w:r w:rsidRPr="006862A2">
        <w:rPr>
          <w:rFonts w:ascii="Arial" w:eastAsia="Times New Roman" w:hAnsi="Arial" w:cs="Arial"/>
          <w:color w:val="212529"/>
          <w:lang w:eastAsia="fr-FR"/>
        </w:rPr>
        <w:t>1123-3 ;</w:t>
      </w:r>
    </w:p>
    <w:p w:rsidR="006862A2" w:rsidRPr="006862A2" w:rsidRDefault="006862A2" w:rsidP="006862A2">
      <w:pPr>
        <w:numPr>
          <w:ilvl w:val="0"/>
          <w:numId w:val="8"/>
        </w:numPr>
        <w:shd w:val="clear" w:color="auto" w:fill="FFFFFF"/>
        <w:spacing w:before="100" w:beforeAutospacing="1"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depuis l’entrée en vigueur de la loi 3DS, lorsque les immeubles ont été acquis de plein droit par les communes ou un EPCI, ou par l'État, le Conservatoire de l'espace littoral et des rivages lacustres ou le conservatoire régional d'espaces naturels en cas de succession ouverte depuis moins de trente ans.</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Le demandeur ne peut, dans ces deux situations, obtenir que le paiement d’une indemnité représentant la valeur de l’immeuble au jour de l’acte d’aliénation ou, le cas échéant, de la mise à disposition du service ou de l’établissement public utilisateur.</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lastRenderedPageBreak/>
        <w:t>A défaut d’accord amiable, l’indemnité est fixée par le juge compétent en matière d’expropriation pour cause d’utilité publique (</w:t>
      </w:r>
      <w:hyperlink r:id="rId29" w:tgtFrame="_blank" w:tooltip="Ouvrir « art. L. 2222-20 » dans une nouvelle fenêtre" w:history="1">
        <w:r w:rsidR="002830A9">
          <w:rPr>
            <w:rFonts w:ascii="Arial" w:eastAsia="Times New Roman" w:hAnsi="Arial" w:cs="Arial"/>
            <w:color w:val="3054B8"/>
            <w:u w:val="single"/>
            <w:lang w:eastAsia="fr-FR"/>
          </w:rPr>
          <w:t>art. L</w:t>
        </w:r>
        <w:r w:rsidRPr="006862A2">
          <w:rPr>
            <w:rFonts w:ascii="Arial" w:eastAsia="Times New Roman" w:hAnsi="Arial" w:cs="Arial"/>
            <w:color w:val="3054B8"/>
            <w:u w:val="single"/>
            <w:lang w:eastAsia="fr-FR"/>
          </w:rPr>
          <w:t>2222-20</w:t>
        </w:r>
      </w:hyperlink>
      <w:r w:rsidRPr="006862A2">
        <w:rPr>
          <w:rFonts w:ascii="Arial" w:eastAsia="Times New Roman" w:hAnsi="Arial" w:cs="Arial"/>
          <w:color w:val="212529"/>
          <w:lang w:eastAsia="fr-FR"/>
        </w:rPr>
        <w:t>).</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La restitution du bien ou le paiement de l’indemnité est subordonné au paiement par le propriétaire ou ses ayants droit du montant :</w:t>
      </w:r>
    </w:p>
    <w:p w:rsidR="006862A2" w:rsidRPr="006862A2" w:rsidRDefault="006862A2" w:rsidP="006862A2">
      <w:pPr>
        <w:numPr>
          <w:ilvl w:val="0"/>
          <w:numId w:val="9"/>
        </w:numPr>
        <w:shd w:val="clear" w:color="auto" w:fill="FFFFFF"/>
        <w:spacing w:before="100" w:beforeAutospacing="1"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des charges qu’ils ont éludées depuis le point de départ du délai d</w:t>
      </w:r>
      <w:r w:rsidR="002830A9">
        <w:rPr>
          <w:rFonts w:ascii="Arial" w:eastAsia="Times New Roman" w:hAnsi="Arial" w:cs="Arial"/>
          <w:color w:val="212529"/>
          <w:lang w:eastAsia="fr-FR"/>
        </w:rPr>
        <w:t>e trois ans fixé à l'article L</w:t>
      </w:r>
      <w:r w:rsidRPr="006862A2">
        <w:rPr>
          <w:rFonts w:ascii="Arial" w:eastAsia="Times New Roman" w:hAnsi="Arial" w:cs="Arial"/>
          <w:color w:val="212529"/>
          <w:lang w:eastAsia="fr-FR"/>
        </w:rPr>
        <w:t>1123-3 (taxes foncières, par exemple) ;</w:t>
      </w:r>
    </w:p>
    <w:p w:rsidR="006862A2" w:rsidRPr="006862A2" w:rsidRDefault="006862A2" w:rsidP="006862A2">
      <w:pPr>
        <w:numPr>
          <w:ilvl w:val="0"/>
          <w:numId w:val="9"/>
        </w:numPr>
        <w:shd w:val="clear" w:color="auto" w:fill="FFFFFF"/>
        <w:spacing w:before="100" w:beforeAutospacing="1"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des dépenses engagées par la commune/l'EPCI, ou le CELRL/le CREN/l’</w:t>
      </w:r>
      <w:proofErr w:type="spellStart"/>
      <w:r w:rsidRPr="006862A2">
        <w:rPr>
          <w:rFonts w:ascii="Arial" w:eastAsia="Times New Roman" w:hAnsi="Arial" w:cs="Arial"/>
          <w:color w:val="212529"/>
          <w:lang w:eastAsia="fr-FR"/>
        </w:rPr>
        <w:t>Etat</w:t>
      </w:r>
      <w:proofErr w:type="spellEnd"/>
      <w:r w:rsidRPr="006862A2">
        <w:rPr>
          <w:rFonts w:ascii="Arial" w:eastAsia="Times New Roman" w:hAnsi="Arial" w:cs="Arial"/>
          <w:color w:val="212529"/>
          <w:lang w:eastAsia="fr-FR"/>
        </w:rPr>
        <w:t xml:space="preserve"> au titre de la conservation du bien.</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Pour mém</w:t>
      </w:r>
      <w:r w:rsidR="002830A9">
        <w:rPr>
          <w:rFonts w:ascii="Arial" w:eastAsia="Times New Roman" w:hAnsi="Arial" w:cs="Arial"/>
          <w:color w:val="212529"/>
          <w:lang w:eastAsia="fr-FR"/>
        </w:rPr>
        <w:t>oire, les articles L1123-3 et L</w:t>
      </w:r>
      <w:r w:rsidRPr="006862A2">
        <w:rPr>
          <w:rFonts w:ascii="Arial" w:eastAsia="Times New Roman" w:hAnsi="Arial" w:cs="Arial"/>
          <w:color w:val="212529"/>
          <w:lang w:eastAsia="fr-FR"/>
        </w:rPr>
        <w:t>2222-20 du CG3P ne sont applicables qu’aux immeubles à l’égard desquels la décision de constatation de vacance est intervenue postérieurement au 1er juillet 2006 (</w:t>
      </w:r>
      <w:hyperlink r:id="rId30" w:tgtFrame="_blank" w:tooltip="Ouvrir « II de l’article 11 » dans une nouvelle fenêtre" w:history="1">
        <w:r w:rsidRPr="006862A2">
          <w:rPr>
            <w:rFonts w:ascii="Arial" w:eastAsia="Times New Roman" w:hAnsi="Arial" w:cs="Arial"/>
            <w:color w:val="3054B8"/>
            <w:u w:val="single"/>
            <w:lang w:eastAsia="fr-FR"/>
          </w:rPr>
          <w:t>II de l’article 11</w:t>
        </w:r>
      </w:hyperlink>
      <w:r w:rsidRPr="006862A2">
        <w:rPr>
          <w:rFonts w:ascii="Arial" w:eastAsia="Times New Roman" w:hAnsi="Arial" w:cs="Arial"/>
          <w:color w:val="212529"/>
          <w:lang w:eastAsia="fr-FR"/>
        </w:rPr>
        <w:t> de l’ordonnance n° 2006-460 du 21 avril 2006).</w:t>
      </w:r>
    </w:p>
    <w:p w:rsidR="006862A2" w:rsidRPr="006862A2" w:rsidRDefault="006862A2" w:rsidP="006862A2">
      <w:pPr>
        <w:shd w:val="clear" w:color="auto" w:fill="FFFFFF"/>
        <w:spacing w:before="100" w:beforeAutospacing="1" w:after="100" w:afterAutospacing="1" w:line="240" w:lineRule="auto"/>
        <w:jc w:val="center"/>
        <w:outlineLvl w:val="1"/>
        <w:rPr>
          <w:rFonts w:ascii="Arial" w:eastAsia="Times New Roman" w:hAnsi="Arial" w:cs="Arial"/>
          <w:b/>
          <w:bCs/>
          <w:color w:val="212529"/>
          <w:lang w:eastAsia="fr-FR"/>
        </w:rPr>
      </w:pPr>
      <w:bookmarkStart w:id="8" w:name="Procédure_d'acquisition_des_biens_présum"/>
      <w:r w:rsidRPr="006862A2">
        <w:rPr>
          <w:rFonts w:ascii="Arial" w:eastAsia="Times New Roman" w:hAnsi="Arial" w:cs="Arial"/>
          <w:b/>
          <w:bCs/>
          <w:color w:val="212529"/>
          <w:u w:val="single"/>
          <w:lang w:eastAsia="fr-FR"/>
        </w:rPr>
        <w:t>Procédure d'acquisition des biens présumés sans maître</w:t>
      </w:r>
      <w:bookmarkEnd w:id="8"/>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L’</w:t>
      </w:r>
      <w:hyperlink r:id="rId31" w:tgtFrame="_blank" w:tooltip="Ouvrir « article L. 1123-3  » dans une nouvelle fenêtre" w:history="1">
        <w:r w:rsidR="00B14A19">
          <w:rPr>
            <w:rFonts w:ascii="Arial" w:eastAsia="Times New Roman" w:hAnsi="Arial" w:cs="Arial"/>
            <w:color w:val="3054B8"/>
            <w:u w:val="single"/>
            <w:lang w:eastAsia="fr-FR"/>
          </w:rPr>
          <w:t>article L</w:t>
        </w:r>
        <w:r w:rsidRPr="006862A2">
          <w:rPr>
            <w:rFonts w:ascii="Arial" w:eastAsia="Times New Roman" w:hAnsi="Arial" w:cs="Arial"/>
            <w:color w:val="3054B8"/>
            <w:u w:val="single"/>
            <w:lang w:eastAsia="fr-FR"/>
          </w:rPr>
          <w:t>1123-3 </w:t>
        </w:r>
      </w:hyperlink>
      <w:r w:rsidRPr="006862A2">
        <w:rPr>
          <w:rFonts w:ascii="Arial" w:eastAsia="Times New Roman" w:hAnsi="Arial" w:cs="Arial"/>
          <w:color w:val="212529"/>
          <w:lang w:eastAsia="fr-FR"/>
        </w:rPr>
        <w:t>du Code général de la propriété des personnes publiques prévoit désormais que l'administration fiscale transmet au maire ou au président de l'établissement public de coopération intercommunale (EPCI) à fiscalité propre, à leur demande, les informations nécessaires à la mise en œuvre de la procédure d'acquisition des biens présumés sans maître, bâtis ou non bâtis.</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Afin d’obtenir ces informations, la commune ou l’EPCI est invité à transmettre sa demande, à l’aide du </w:t>
      </w:r>
      <w:r w:rsidRPr="006862A2">
        <w:rPr>
          <w:rFonts w:ascii="Arial" w:eastAsia="Times New Roman" w:hAnsi="Arial" w:cs="Arial"/>
          <w:b/>
          <w:bCs/>
          <w:color w:val="212529"/>
          <w:lang w:eastAsia="fr-FR"/>
        </w:rPr>
        <w:t>formulaire ci-dessous,</w:t>
      </w:r>
      <w:r w:rsidRPr="006862A2">
        <w:rPr>
          <w:rFonts w:ascii="Arial" w:eastAsia="Times New Roman" w:hAnsi="Arial" w:cs="Arial"/>
          <w:color w:val="212529"/>
          <w:lang w:eastAsia="fr-FR"/>
        </w:rPr>
        <w:t> à la direction départementale des finances publiques de son département (pôle de gestion fiscale).</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r w:rsidRPr="006862A2">
        <w:rPr>
          <w:rFonts w:ascii="Arial" w:eastAsia="Times New Roman" w:hAnsi="Arial" w:cs="Arial"/>
          <w:color w:val="212529"/>
          <w:lang w:eastAsia="fr-FR"/>
        </w:rPr>
        <w:t>Le formulaire devra être complété des références cadastrales et de l’adresse du bien, de la nature bâtie ou non bâtie du bien et éventuellement de l’identité du propriétaire et de son numéro de compte communal.</w:t>
      </w:r>
    </w:p>
    <w:p w:rsidR="006862A2" w:rsidRPr="006862A2" w:rsidRDefault="006862A2" w:rsidP="006862A2">
      <w:pPr>
        <w:shd w:val="clear" w:color="auto" w:fill="FFFFFF"/>
        <w:spacing w:after="100" w:afterAutospacing="1" w:line="240" w:lineRule="auto"/>
        <w:rPr>
          <w:rFonts w:ascii="Arial" w:eastAsia="Times New Roman" w:hAnsi="Arial" w:cs="Arial"/>
          <w:color w:val="212529"/>
          <w:lang w:eastAsia="fr-FR"/>
        </w:rPr>
      </w:pPr>
      <w:hyperlink r:id="rId32" w:tgtFrame="_blank" w:tooltip="Ouvrir « Cliquez ici pour accéder au formulaire de demande de renseignements réalisée dans le cadre de l'acquisition de biens présumés sans maître. » dans une nouvelle fenêtre" w:history="1">
        <w:r w:rsidRPr="00B14A19">
          <w:rPr>
            <w:rFonts w:ascii="Arial" w:eastAsia="Times New Roman" w:hAnsi="Arial" w:cs="Arial"/>
            <w:color w:val="3054B8"/>
            <w:u w:val="single"/>
            <w:lang w:eastAsia="fr-FR"/>
          </w:rPr>
          <w:t>Cliquez ici pour accéder au for</w:t>
        </w:r>
        <w:r w:rsidRPr="00B14A19">
          <w:rPr>
            <w:rFonts w:ascii="Arial" w:eastAsia="Times New Roman" w:hAnsi="Arial" w:cs="Arial"/>
            <w:color w:val="3054B8"/>
            <w:u w:val="single"/>
            <w:lang w:eastAsia="fr-FR"/>
          </w:rPr>
          <w:t>m</w:t>
        </w:r>
        <w:r w:rsidRPr="00B14A19">
          <w:rPr>
            <w:rFonts w:ascii="Arial" w:eastAsia="Times New Roman" w:hAnsi="Arial" w:cs="Arial"/>
            <w:color w:val="3054B8"/>
            <w:u w:val="single"/>
            <w:lang w:eastAsia="fr-FR"/>
          </w:rPr>
          <w:t>ulaire de demande de renseignements réalisée dans le cadre de l'acquisition de biens présumés sans maître.</w:t>
        </w:r>
      </w:hyperlink>
    </w:p>
    <w:p w:rsidR="008371AF" w:rsidRPr="006862A2" w:rsidRDefault="008371AF">
      <w:pPr>
        <w:rPr>
          <w:rFonts w:ascii="Arial" w:hAnsi="Arial" w:cs="Arial"/>
        </w:rPr>
      </w:pPr>
    </w:p>
    <w:sectPr w:rsidR="008371AF" w:rsidRPr="006862A2" w:rsidSect="008371A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8D2" w:rsidRDefault="002A28D2" w:rsidP="006862A2">
      <w:pPr>
        <w:spacing w:after="0" w:line="240" w:lineRule="auto"/>
      </w:pPr>
      <w:r>
        <w:separator/>
      </w:r>
    </w:p>
  </w:endnote>
  <w:endnote w:type="continuationSeparator" w:id="0">
    <w:p w:rsidR="002A28D2" w:rsidRDefault="002A28D2" w:rsidP="00686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8D2" w:rsidRDefault="002A28D2" w:rsidP="006862A2">
      <w:pPr>
        <w:spacing w:after="0" w:line="240" w:lineRule="auto"/>
      </w:pPr>
      <w:r>
        <w:separator/>
      </w:r>
    </w:p>
  </w:footnote>
  <w:footnote w:type="continuationSeparator" w:id="0">
    <w:p w:rsidR="002A28D2" w:rsidRDefault="002A28D2" w:rsidP="006862A2">
      <w:pPr>
        <w:spacing w:after="0" w:line="240" w:lineRule="auto"/>
      </w:pPr>
      <w:r>
        <w:continuationSeparator/>
      </w:r>
    </w:p>
  </w:footnote>
  <w:footnote w:id="1">
    <w:p w:rsidR="006862A2" w:rsidRPr="006862A2" w:rsidRDefault="006862A2">
      <w:pPr>
        <w:pStyle w:val="Notedebasdepage"/>
        <w:rPr>
          <w:rFonts w:ascii="Arial" w:hAnsi="Arial" w:cs="Arial"/>
          <w:b/>
          <w:color w:val="002060"/>
          <w:sz w:val="22"/>
          <w:szCs w:val="22"/>
        </w:rPr>
      </w:pPr>
      <w:r w:rsidRPr="006862A2">
        <w:rPr>
          <w:rStyle w:val="Appelnotedebasdep"/>
          <w:rFonts w:ascii="Arial" w:hAnsi="Arial" w:cs="Arial"/>
          <w:b/>
          <w:color w:val="002060"/>
          <w:sz w:val="22"/>
          <w:szCs w:val="22"/>
        </w:rPr>
        <w:footnoteRef/>
      </w:r>
      <w:r>
        <w:rPr>
          <w:rFonts w:ascii="Arial" w:hAnsi="Arial" w:cs="Arial"/>
          <w:b/>
          <w:color w:val="002060"/>
          <w:sz w:val="22"/>
          <w:szCs w:val="22"/>
        </w:rPr>
        <w:t xml:space="preserve"> Sou</w:t>
      </w:r>
      <w:r w:rsidRPr="006862A2">
        <w:rPr>
          <w:rFonts w:ascii="Arial" w:hAnsi="Arial" w:cs="Arial"/>
          <w:b/>
          <w:color w:val="002060"/>
          <w:sz w:val="22"/>
          <w:szCs w:val="22"/>
        </w:rPr>
        <w:t xml:space="preserve">rce : </w:t>
      </w:r>
      <w:r w:rsidR="00B14A19">
        <w:rPr>
          <w:rFonts w:ascii="Arial" w:hAnsi="Arial" w:cs="Arial"/>
          <w:b/>
          <w:color w:val="002060"/>
          <w:sz w:val="22"/>
          <w:szCs w:val="22"/>
        </w:rPr>
        <w:t>Note d'information /</w:t>
      </w:r>
      <w:r w:rsidRPr="006862A2">
        <w:rPr>
          <w:rFonts w:ascii="Arial" w:hAnsi="Arial" w:cs="Arial"/>
          <w:b/>
          <w:color w:val="002060"/>
          <w:sz w:val="22"/>
          <w:szCs w:val="22"/>
        </w:rPr>
        <w:t xml:space="preserve">ministère de l'Intérieur – DGCL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79B"/>
    <w:multiLevelType w:val="multilevel"/>
    <w:tmpl w:val="7A7C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C363C"/>
    <w:multiLevelType w:val="multilevel"/>
    <w:tmpl w:val="BA68C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064380"/>
    <w:multiLevelType w:val="multilevel"/>
    <w:tmpl w:val="B436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F085F"/>
    <w:multiLevelType w:val="multilevel"/>
    <w:tmpl w:val="8686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485538"/>
    <w:multiLevelType w:val="multilevel"/>
    <w:tmpl w:val="3F10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EB17A6"/>
    <w:multiLevelType w:val="multilevel"/>
    <w:tmpl w:val="F338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645EC0"/>
    <w:multiLevelType w:val="multilevel"/>
    <w:tmpl w:val="63FA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8579F4"/>
    <w:multiLevelType w:val="multilevel"/>
    <w:tmpl w:val="B414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034443"/>
    <w:multiLevelType w:val="multilevel"/>
    <w:tmpl w:val="E1FE8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722827"/>
    <w:multiLevelType w:val="hybridMultilevel"/>
    <w:tmpl w:val="85E66B9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8"/>
  </w:num>
  <w:num w:numId="4">
    <w:abstractNumId w:val="2"/>
  </w:num>
  <w:num w:numId="5">
    <w:abstractNumId w:val="1"/>
  </w:num>
  <w:num w:numId="6">
    <w:abstractNumId w:val="0"/>
  </w:num>
  <w:num w:numId="7">
    <w:abstractNumId w:val="6"/>
  </w:num>
  <w:num w:numId="8">
    <w:abstractNumId w:val="3"/>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862A2"/>
    <w:rsid w:val="002830A9"/>
    <w:rsid w:val="002A28D2"/>
    <w:rsid w:val="00567444"/>
    <w:rsid w:val="005E0CDD"/>
    <w:rsid w:val="006862A2"/>
    <w:rsid w:val="007A6FED"/>
    <w:rsid w:val="008371AF"/>
    <w:rsid w:val="008C35A2"/>
    <w:rsid w:val="00A70428"/>
    <w:rsid w:val="00B14A1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1AF"/>
  </w:style>
  <w:style w:type="paragraph" w:styleId="Titre1">
    <w:name w:val="heading 1"/>
    <w:basedOn w:val="Normal"/>
    <w:link w:val="Titre1Car"/>
    <w:uiPriority w:val="9"/>
    <w:qFormat/>
    <w:rsid w:val="006862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862A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862A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6862A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6862A2"/>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62A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862A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862A2"/>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862A2"/>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6862A2"/>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6862A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862A2"/>
    <w:rPr>
      <w:color w:val="0000FF"/>
      <w:u w:val="single"/>
    </w:rPr>
  </w:style>
  <w:style w:type="character" w:styleId="lev">
    <w:name w:val="Strong"/>
    <w:basedOn w:val="Policepardfaut"/>
    <w:uiPriority w:val="22"/>
    <w:qFormat/>
    <w:rsid w:val="006862A2"/>
    <w:rPr>
      <w:b/>
      <w:bCs/>
    </w:rPr>
  </w:style>
  <w:style w:type="paragraph" w:customStyle="1" w:styleId="text-align-center">
    <w:name w:val="text-align-center"/>
    <w:basedOn w:val="Normal"/>
    <w:rsid w:val="006862A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6862A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862A2"/>
    <w:rPr>
      <w:sz w:val="20"/>
      <w:szCs w:val="20"/>
    </w:rPr>
  </w:style>
  <w:style w:type="character" w:styleId="Appelnotedebasdep">
    <w:name w:val="footnote reference"/>
    <w:basedOn w:val="Policepardfaut"/>
    <w:uiPriority w:val="99"/>
    <w:semiHidden/>
    <w:unhideWhenUsed/>
    <w:rsid w:val="006862A2"/>
    <w:rPr>
      <w:vertAlign w:val="superscript"/>
    </w:rPr>
  </w:style>
  <w:style w:type="paragraph" w:styleId="Paragraphedeliste">
    <w:name w:val="List Paragraph"/>
    <w:basedOn w:val="Normal"/>
    <w:uiPriority w:val="34"/>
    <w:qFormat/>
    <w:rsid w:val="005E0CDD"/>
    <w:pPr>
      <w:ind w:left="720"/>
      <w:contextualSpacing/>
    </w:pPr>
  </w:style>
</w:styles>
</file>

<file path=word/webSettings.xml><?xml version="1.0" encoding="utf-8"?>
<w:webSettings xmlns:r="http://schemas.openxmlformats.org/officeDocument/2006/relationships" xmlns:w="http://schemas.openxmlformats.org/wordprocessingml/2006/main">
  <w:divs>
    <w:div w:id="699597822">
      <w:bodyDiv w:val="1"/>
      <w:marLeft w:val="0"/>
      <w:marRight w:val="0"/>
      <w:marTop w:val="0"/>
      <w:marBottom w:val="0"/>
      <w:divBdr>
        <w:top w:val="none" w:sz="0" w:space="0" w:color="auto"/>
        <w:left w:val="none" w:sz="0" w:space="0" w:color="auto"/>
        <w:bottom w:val="none" w:sz="0" w:space="0" w:color="auto"/>
        <w:right w:val="none" w:sz="0" w:space="0" w:color="auto"/>
      </w:divBdr>
      <w:divsChild>
        <w:div w:id="1810856856">
          <w:marLeft w:val="0"/>
          <w:marRight w:val="0"/>
          <w:marTop w:val="0"/>
          <w:marBottom w:val="0"/>
          <w:divBdr>
            <w:top w:val="none" w:sz="0" w:space="0" w:color="auto"/>
            <w:left w:val="none" w:sz="0" w:space="0" w:color="auto"/>
            <w:bottom w:val="none" w:sz="0" w:space="0" w:color="auto"/>
            <w:right w:val="none" w:sz="0" w:space="0" w:color="auto"/>
          </w:divBdr>
          <w:divsChild>
            <w:div w:id="251861210">
              <w:marLeft w:val="0"/>
              <w:marRight w:val="0"/>
              <w:marTop w:val="0"/>
              <w:marBottom w:val="0"/>
              <w:divBdr>
                <w:top w:val="none" w:sz="0" w:space="0" w:color="auto"/>
                <w:left w:val="none" w:sz="0" w:space="0" w:color="auto"/>
                <w:bottom w:val="none" w:sz="0" w:space="0" w:color="auto"/>
                <w:right w:val="none" w:sz="0" w:space="0" w:color="auto"/>
              </w:divBdr>
              <w:divsChild>
                <w:div w:id="2124375668">
                  <w:marLeft w:val="0"/>
                  <w:marRight w:val="0"/>
                  <w:marTop w:val="0"/>
                  <w:marBottom w:val="0"/>
                  <w:divBdr>
                    <w:top w:val="none" w:sz="0" w:space="0" w:color="auto"/>
                    <w:left w:val="none" w:sz="0" w:space="0" w:color="auto"/>
                    <w:bottom w:val="none" w:sz="0" w:space="0" w:color="auto"/>
                    <w:right w:val="none" w:sz="0" w:space="0" w:color="auto"/>
                  </w:divBdr>
                  <w:divsChild>
                    <w:div w:id="1626933675">
                      <w:marLeft w:val="0"/>
                      <w:marRight w:val="0"/>
                      <w:marTop w:val="0"/>
                      <w:marBottom w:val="0"/>
                      <w:divBdr>
                        <w:top w:val="none" w:sz="0" w:space="0" w:color="auto"/>
                        <w:left w:val="none" w:sz="0" w:space="0" w:color="auto"/>
                        <w:bottom w:val="none" w:sz="0" w:space="0" w:color="auto"/>
                        <w:right w:val="none" w:sz="0" w:space="0" w:color="auto"/>
                      </w:divBdr>
                      <w:divsChild>
                        <w:div w:id="14973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article_lc/LEGIARTI000045211948/2022-02-23" TargetMode="External"/><Relationship Id="rId13" Type="http://schemas.openxmlformats.org/officeDocument/2006/relationships/hyperlink" Target="https://www.legifrance.gouv.fr/codes/article_lc/LEGIARTI000033034426/" TargetMode="External"/><Relationship Id="rId18" Type="http://schemas.openxmlformats.org/officeDocument/2006/relationships/hyperlink" Target="https://www.legifrance.gouv.fr/codes/article_lc/LEGIARTI000037666346/" TargetMode="External"/><Relationship Id="rId26" Type="http://schemas.openxmlformats.org/officeDocument/2006/relationships/hyperlink" Target="https://www.legifrance.gouv.fr/codes/article_lc/LEGIARTI000006421817" TargetMode="External"/><Relationship Id="rId3" Type="http://schemas.openxmlformats.org/officeDocument/2006/relationships/settings" Target="settings.xml"/><Relationship Id="rId21" Type="http://schemas.openxmlformats.org/officeDocument/2006/relationships/hyperlink" Target="https://www.legifrance.gouv.fr/loda/article_lc/LEGIARTI000028638823/" TargetMode="External"/><Relationship Id="rId34" Type="http://schemas.openxmlformats.org/officeDocument/2006/relationships/theme" Target="theme/theme1.xml"/><Relationship Id="rId7" Type="http://schemas.openxmlformats.org/officeDocument/2006/relationships/hyperlink" Target="https://www.legifrance.gouv.fr/codes/article_lc/LEGIARTI000045211903" TargetMode="External"/><Relationship Id="rId12" Type="http://schemas.openxmlformats.org/officeDocument/2006/relationships/hyperlink" Target="https://www.legifrance.gouv.fr/codes/article_lc/LEGIARTI000033034802/" TargetMode="External"/><Relationship Id="rId17" Type="http://schemas.openxmlformats.org/officeDocument/2006/relationships/hyperlink" Target="https://www.legifrance.gouv.fr/jorf/article_jo/JORFARTI000045197465" TargetMode="External"/><Relationship Id="rId25" Type="http://schemas.openxmlformats.org/officeDocument/2006/relationships/hyperlink" Target="https://www.legifrance.gouv.fr/codes/article_lc/LEGIARTI00000636115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france.gouv.fr/codes/article_lc/LEGIARTI000006361149/" TargetMode="External"/><Relationship Id="rId20" Type="http://schemas.openxmlformats.org/officeDocument/2006/relationships/hyperlink" Target="https://www.legifrance.gouv.fr/codes/article_lc/LEGIARTI000033611735" TargetMode="External"/><Relationship Id="rId29" Type="http://schemas.openxmlformats.org/officeDocument/2006/relationships/hyperlink" Target="https://www.legifrance.gouv.fr/codes/article_lc/LEGIARTI000045211937/2024-03-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codes/article_lc/LEGIARTI000045211894/2024-03-05/" TargetMode="External"/><Relationship Id="rId24" Type="http://schemas.openxmlformats.org/officeDocument/2006/relationships/hyperlink" Target="https://www.legifrance.gouv.fr/codes/article_lc/LEGIARTI000006430604/2004-08-17" TargetMode="External"/><Relationship Id="rId32" Type="http://schemas.openxmlformats.org/officeDocument/2006/relationships/hyperlink" Target="https://bo-colloc2020.bercy.actimage.net/files/Comp%C3%A9tences/6.%20g%C3%A9rer%20les%20biens%20de%20la%20collectivit%C3%A9/formulaire-BSM.odt" TargetMode="External"/><Relationship Id="rId5" Type="http://schemas.openxmlformats.org/officeDocument/2006/relationships/footnotes" Target="footnotes.xml"/><Relationship Id="rId15" Type="http://schemas.openxmlformats.org/officeDocument/2006/relationships/hyperlink" Target="https://www.legifrance.gouv.fr/codes/article_lc/LEGIARTI000024884604/2024-03-05/" TargetMode="External"/><Relationship Id="rId23" Type="http://schemas.openxmlformats.org/officeDocument/2006/relationships/hyperlink" Target="https://www.legifrance.gouv.fr/codes/article_lc/LEGIARTI000006412517/" TargetMode="External"/><Relationship Id="rId28" Type="http://schemas.openxmlformats.org/officeDocument/2006/relationships/hyperlink" Target="https://www.legifrance.gouv.fr/codes/article_lc/LEGIARTI000045211948/2024-03-05/" TargetMode="External"/><Relationship Id="rId10" Type="http://schemas.openxmlformats.org/officeDocument/2006/relationships/hyperlink" Target="https://www.legifrance.gouv.fr/codes/article_lc/LEGIARTI000033034823" TargetMode="External"/><Relationship Id="rId19" Type="http://schemas.openxmlformats.org/officeDocument/2006/relationships/hyperlink" Target="https://www.legifrance.gouv.fr/codes/article_lc/LEGIARTI000038804623/" TargetMode="External"/><Relationship Id="rId31" Type="http://schemas.openxmlformats.org/officeDocument/2006/relationships/hyperlink" Target="https://www.legifrance.gouv.fr/codes/article_lc/LEGIARTI000045211948/2022-08-25/" TargetMode="External"/><Relationship Id="rId4" Type="http://schemas.openxmlformats.org/officeDocument/2006/relationships/webSettings" Target="webSettings.xml"/><Relationship Id="rId9" Type="http://schemas.openxmlformats.org/officeDocument/2006/relationships/hyperlink" Target="https://www.legifrance.gouv.fr/codes/section_lc/LEGITEXT000006070299/LEGISCTA000006164214/" TargetMode="External"/><Relationship Id="rId14" Type="http://schemas.openxmlformats.org/officeDocument/2006/relationships/hyperlink" Target="https://www.legifrance.gouv.fr/codes/article_lc/LEGIARTI000045211903/2024-03-05/" TargetMode="External"/><Relationship Id="rId22" Type="http://schemas.openxmlformats.org/officeDocument/2006/relationships/hyperlink" Target="https://www.legifrance.gouv.fr/codes/article_lc/LEGIARTI000006431815" TargetMode="External"/><Relationship Id="rId27" Type="http://schemas.openxmlformats.org/officeDocument/2006/relationships/hyperlink" Target="https://www.legifrance.gouv.fr/codes/article_lc/LEGIARTI000045211948/2024-03-05/" TargetMode="External"/><Relationship Id="rId30" Type="http://schemas.openxmlformats.org/officeDocument/2006/relationships/hyperlink" Target="https://www.legifrance.gouv.fr/loda/article_lc/LEGIARTI00000625083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3199</Words>
  <Characters>17596</Characters>
  <Application>Microsoft Office Word</Application>
  <DocSecurity>0</DocSecurity>
  <Lines>146</Lines>
  <Paragraphs>41</Paragraphs>
  <ScaleCrop>false</ScaleCrop>
  <Company/>
  <LinksUpToDate>false</LinksUpToDate>
  <CharactersWithSpaces>20754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bouche</dc:creator>
  <cp:lastModifiedBy>nancy bouche</cp:lastModifiedBy>
  <cp:revision>1</cp:revision>
  <dcterms:created xsi:type="dcterms:W3CDTF">2024-04-08T09:19:00Z</dcterms:created>
  <dcterms:modified xsi:type="dcterms:W3CDTF">2024-04-08T09:47:00Z</dcterms:modified>
</cp:coreProperties>
</file>