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C9" w:rsidRPr="00FA05BB" w:rsidRDefault="00FA05BB">
      <w:pPr>
        <w:rPr>
          <w:rFonts w:ascii="Arial" w:hAnsi="Arial" w:cs="Arial"/>
          <w:b/>
          <w:color w:val="FF0000"/>
          <w:sz w:val="24"/>
          <w:szCs w:val="24"/>
        </w:rPr>
      </w:pPr>
      <w:r w:rsidRPr="00FA05BB">
        <w:rPr>
          <w:rFonts w:ascii="Arial" w:hAnsi="Arial" w:cs="Arial"/>
          <w:b/>
          <w:color w:val="FF0000"/>
          <w:sz w:val="24"/>
          <w:szCs w:val="24"/>
        </w:rPr>
        <w:t xml:space="preserve">ITEM : la répression pénale de l'habitat indigne : texte de présentation </w:t>
      </w:r>
    </w:p>
    <w:p w:rsidR="00FA05BB" w:rsidRDefault="00FA05BB"/>
    <w:p w:rsidR="00FA05BB" w:rsidRDefault="00FA05BB">
      <w:pPr>
        <w:rPr>
          <w:rFonts w:ascii="Arial" w:hAnsi="Arial" w:cs="Arial"/>
          <w:color w:val="00B050"/>
          <w:sz w:val="24"/>
          <w:szCs w:val="24"/>
        </w:rPr>
      </w:pPr>
      <w:r w:rsidRPr="00FA05BB">
        <w:rPr>
          <w:rFonts w:ascii="Arial" w:hAnsi="Arial" w:cs="Arial"/>
          <w:color w:val="00B050"/>
          <w:sz w:val="24"/>
          <w:szCs w:val="24"/>
        </w:rPr>
        <w:t>On trouvera ci-après :</w:t>
      </w:r>
    </w:p>
    <w:p w:rsidR="005C71F8" w:rsidRPr="00FA05BB" w:rsidRDefault="005C71F8">
      <w:pPr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 xml:space="preserve">Un </w:t>
      </w:r>
      <w:r w:rsidRPr="005C71F8">
        <w:rPr>
          <w:rFonts w:ascii="Arial" w:hAnsi="Arial" w:cs="Arial"/>
          <w:b/>
          <w:color w:val="00B050"/>
          <w:sz w:val="24"/>
          <w:szCs w:val="24"/>
        </w:rPr>
        <w:t>document pédagogique</w:t>
      </w:r>
      <w:r>
        <w:rPr>
          <w:rFonts w:ascii="Arial" w:hAnsi="Arial" w:cs="Arial"/>
          <w:color w:val="00B050"/>
          <w:sz w:val="24"/>
          <w:szCs w:val="24"/>
        </w:rPr>
        <w:t xml:space="preserve"> à caractère général relatif à la répression de l'habitat indigne (</w:t>
      </w:r>
      <w:r w:rsidRPr="005C71F8">
        <w:rPr>
          <w:rFonts w:ascii="Arial" w:hAnsi="Arial" w:cs="Arial"/>
          <w:i/>
          <w:color w:val="FF0000"/>
          <w:sz w:val="24"/>
          <w:szCs w:val="24"/>
        </w:rPr>
        <w:t>lien avec PPT répression pénale 2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et supprimer dans la partie I le document intitulé : "la répression pénale de l'habitat indigne* Nancy Bouché</w:t>
      </w:r>
      <w:proofErr w:type="gramStart"/>
      <w:r>
        <w:rPr>
          <w:rFonts w:ascii="Arial" w:hAnsi="Arial" w:cs="Arial"/>
          <w:i/>
          <w:color w:val="FF0000"/>
          <w:sz w:val="24"/>
          <w:szCs w:val="24"/>
        </w:rPr>
        <w:t xml:space="preserve">) </w:t>
      </w:r>
      <w:r w:rsidRPr="005C71F8">
        <w:rPr>
          <w:rFonts w:ascii="Arial" w:hAnsi="Arial" w:cs="Arial"/>
          <w:i/>
          <w:color w:val="FF0000"/>
          <w:sz w:val="24"/>
          <w:szCs w:val="24"/>
        </w:rPr>
        <w:t>)</w:t>
      </w:r>
      <w:proofErr w:type="gramEnd"/>
      <w:r>
        <w:rPr>
          <w:rFonts w:ascii="Arial" w:hAnsi="Arial" w:cs="Arial"/>
          <w:color w:val="00B050"/>
          <w:sz w:val="24"/>
          <w:szCs w:val="24"/>
        </w:rPr>
        <w:t xml:space="preserve"> </w:t>
      </w:r>
    </w:p>
    <w:p w:rsidR="00FA05BB" w:rsidRPr="00FA05BB" w:rsidRDefault="00FA05BB">
      <w:pPr>
        <w:rPr>
          <w:rFonts w:ascii="Arial" w:hAnsi="Arial" w:cs="Arial"/>
          <w:color w:val="00B050"/>
          <w:sz w:val="24"/>
          <w:szCs w:val="24"/>
        </w:rPr>
      </w:pPr>
      <w:r w:rsidRPr="00FA05BB">
        <w:rPr>
          <w:rFonts w:ascii="Arial" w:hAnsi="Arial" w:cs="Arial"/>
          <w:color w:val="00B050"/>
          <w:sz w:val="24"/>
          <w:szCs w:val="24"/>
        </w:rPr>
        <w:t xml:space="preserve">Les </w:t>
      </w:r>
      <w:r w:rsidRPr="00FA05BB">
        <w:rPr>
          <w:rFonts w:ascii="Arial" w:hAnsi="Arial" w:cs="Arial"/>
          <w:b/>
          <w:color w:val="00B050"/>
          <w:sz w:val="24"/>
          <w:szCs w:val="24"/>
        </w:rPr>
        <w:t>principaux textes utiles</w:t>
      </w:r>
      <w:r w:rsidRPr="00FA05BB">
        <w:rPr>
          <w:rFonts w:ascii="Arial" w:hAnsi="Arial" w:cs="Arial"/>
          <w:color w:val="00B050"/>
          <w:sz w:val="24"/>
          <w:szCs w:val="24"/>
        </w:rPr>
        <w:t xml:space="preserve"> définissant les infractions et leurs peines applicables :</w:t>
      </w:r>
    </w:p>
    <w:p w:rsidR="00FA05BB" w:rsidRPr="00957B96" w:rsidRDefault="00FA05BB" w:rsidP="00FA05BB">
      <w:pPr>
        <w:pStyle w:val="Paragraphedeliste"/>
        <w:numPr>
          <w:ilvl w:val="0"/>
          <w:numId w:val="1"/>
        </w:numPr>
        <w:rPr>
          <w:rFonts w:ascii="Arial" w:hAnsi="Arial" w:cs="Arial"/>
          <w:i/>
          <w:color w:val="FF0000"/>
          <w:sz w:val="24"/>
          <w:szCs w:val="24"/>
        </w:rPr>
      </w:pPr>
      <w:r w:rsidRPr="00FA05BB">
        <w:rPr>
          <w:rFonts w:ascii="Arial" w:hAnsi="Arial" w:cs="Arial"/>
          <w:color w:val="00B050"/>
          <w:sz w:val="24"/>
          <w:szCs w:val="24"/>
        </w:rPr>
        <w:t xml:space="preserve">les textes utiles du </w:t>
      </w:r>
      <w:r w:rsidRPr="00FA05BB">
        <w:rPr>
          <w:rFonts w:ascii="Arial" w:hAnsi="Arial" w:cs="Arial"/>
          <w:b/>
          <w:color w:val="00B050"/>
          <w:sz w:val="24"/>
          <w:szCs w:val="24"/>
        </w:rPr>
        <w:t>code pénal général</w:t>
      </w:r>
      <w:r w:rsidRPr="00FA05BB">
        <w:rPr>
          <w:rFonts w:ascii="Arial" w:hAnsi="Arial" w:cs="Arial"/>
          <w:color w:val="00B050"/>
          <w:sz w:val="24"/>
          <w:szCs w:val="24"/>
        </w:rPr>
        <w:t xml:space="preserve"> ainsi que les textes spécifiques du </w:t>
      </w:r>
      <w:r w:rsidRPr="00FA05BB">
        <w:rPr>
          <w:rFonts w:ascii="Arial" w:hAnsi="Arial" w:cs="Arial"/>
          <w:b/>
          <w:color w:val="00B050"/>
          <w:sz w:val="24"/>
          <w:szCs w:val="24"/>
        </w:rPr>
        <w:t>CCH</w:t>
      </w:r>
      <w:r w:rsidRPr="00FA05BB">
        <w:rPr>
          <w:rFonts w:ascii="Arial" w:hAnsi="Arial" w:cs="Arial"/>
          <w:color w:val="00B050"/>
          <w:sz w:val="24"/>
          <w:szCs w:val="24"/>
        </w:rPr>
        <w:t xml:space="preserve"> relatifs aux délits en matière d'insalubrité et d'insécurité </w:t>
      </w:r>
      <w:r w:rsidR="00957B96">
        <w:rPr>
          <w:rFonts w:ascii="Arial" w:hAnsi="Arial" w:cs="Arial"/>
          <w:color w:val="00B050"/>
          <w:sz w:val="24"/>
          <w:szCs w:val="24"/>
        </w:rPr>
        <w:t>(</w:t>
      </w:r>
      <w:r w:rsidR="00957B96" w:rsidRPr="00957B96">
        <w:rPr>
          <w:rFonts w:ascii="Arial" w:hAnsi="Arial" w:cs="Arial"/>
          <w:i/>
          <w:color w:val="FF0000"/>
          <w:sz w:val="24"/>
          <w:szCs w:val="24"/>
        </w:rPr>
        <w:t xml:space="preserve">lien avec </w:t>
      </w:r>
      <w:r w:rsidR="008D2804">
        <w:rPr>
          <w:rFonts w:ascii="Arial" w:hAnsi="Arial" w:cs="Arial"/>
          <w:i/>
          <w:color w:val="FF0000"/>
          <w:sz w:val="24"/>
          <w:szCs w:val="24"/>
        </w:rPr>
        <w:t xml:space="preserve">le doc </w:t>
      </w:r>
      <w:r w:rsidR="00957B96" w:rsidRPr="00957B96">
        <w:rPr>
          <w:rFonts w:ascii="Arial" w:hAnsi="Arial" w:cs="Arial"/>
          <w:i/>
          <w:color w:val="FF0000"/>
          <w:sz w:val="24"/>
          <w:szCs w:val="24"/>
        </w:rPr>
        <w:t>répression pénale textes</w:t>
      </w:r>
      <w:r w:rsidR="008D2804">
        <w:rPr>
          <w:rFonts w:ascii="Arial" w:hAnsi="Arial" w:cs="Arial"/>
          <w:i/>
          <w:color w:val="FF0000"/>
          <w:sz w:val="24"/>
          <w:szCs w:val="24"/>
        </w:rPr>
        <w:t>)</w:t>
      </w:r>
    </w:p>
    <w:p w:rsidR="00FA05BB" w:rsidRPr="00FA05BB" w:rsidRDefault="00FA05BB" w:rsidP="00FA05BB">
      <w:pPr>
        <w:pStyle w:val="Paragraphedeliste"/>
        <w:numPr>
          <w:ilvl w:val="0"/>
          <w:numId w:val="1"/>
        </w:numPr>
        <w:rPr>
          <w:rFonts w:ascii="Arial" w:hAnsi="Arial" w:cs="Arial"/>
          <w:color w:val="00B050"/>
          <w:sz w:val="24"/>
          <w:szCs w:val="24"/>
        </w:rPr>
      </w:pPr>
      <w:r w:rsidRPr="00FA05BB">
        <w:rPr>
          <w:rFonts w:ascii="Arial" w:hAnsi="Arial" w:cs="Arial"/>
          <w:color w:val="00B050"/>
          <w:sz w:val="24"/>
          <w:szCs w:val="24"/>
        </w:rPr>
        <w:t xml:space="preserve">la définition des Infractions et des peines encourues en </w:t>
      </w:r>
      <w:r w:rsidRPr="00FA05BB">
        <w:rPr>
          <w:rFonts w:ascii="Arial" w:hAnsi="Arial" w:cs="Arial"/>
          <w:b/>
          <w:color w:val="00B050"/>
          <w:sz w:val="24"/>
          <w:szCs w:val="24"/>
        </w:rPr>
        <w:t>matière d'ERP</w:t>
      </w:r>
      <w:r w:rsidRPr="00FA05BB">
        <w:rPr>
          <w:rFonts w:ascii="Arial" w:hAnsi="Arial" w:cs="Arial"/>
          <w:color w:val="00B050"/>
          <w:sz w:val="24"/>
          <w:szCs w:val="24"/>
        </w:rPr>
        <w:t xml:space="preserve"> (type "hôtels meublés</w:t>
      </w:r>
      <w:proofErr w:type="gramStart"/>
      <w:r w:rsidRPr="00FA05BB">
        <w:rPr>
          <w:rFonts w:ascii="Arial" w:hAnsi="Arial" w:cs="Arial"/>
          <w:color w:val="00B050"/>
          <w:sz w:val="24"/>
          <w:szCs w:val="24"/>
        </w:rPr>
        <w:t>" )</w:t>
      </w:r>
      <w:proofErr w:type="gramEnd"/>
      <w:r w:rsidR="00957B96">
        <w:rPr>
          <w:rFonts w:ascii="Arial" w:hAnsi="Arial" w:cs="Arial"/>
          <w:color w:val="00B050"/>
          <w:sz w:val="24"/>
          <w:szCs w:val="24"/>
        </w:rPr>
        <w:t xml:space="preserve"> </w:t>
      </w:r>
      <w:r w:rsidR="00957B96" w:rsidRPr="00957B96">
        <w:rPr>
          <w:rFonts w:ascii="Arial" w:hAnsi="Arial" w:cs="Arial"/>
          <w:i/>
          <w:color w:val="FF0000"/>
          <w:sz w:val="24"/>
          <w:szCs w:val="24"/>
        </w:rPr>
        <w:t>(lien</w:t>
      </w:r>
      <w:r w:rsidR="00120F22">
        <w:rPr>
          <w:rFonts w:ascii="Arial" w:hAnsi="Arial" w:cs="Arial"/>
          <w:i/>
          <w:color w:val="FF0000"/>
          <w:sz w:val="24"/>
          <w:szCs w:val="24"/>
        </w:rPr>
        <w:t xml:space="preserve"> avec "textes utiles relatifs aux ERP d'hébergement…" sous l'item "Hôtels meublés" </w:t>
      </w:r>
      <w:r w:rsidR="00957B96" w:rsidRPr="00957B96">
        <w:rPr>
          <w:rFonts w:ascii="Arial" w:hAnsi="Arial" w:cs="Arial"/>
          <w:i/>
          <w:color w:val="FF0000"/>
          <w:sz w:val="24"/>
          <w:szCs w:val="24"/>
        </w:rPr>
        <w:t>)</w:t>
      </w:r>
      <w:r w:rsidR="00957B96">
        <w:rPr>
          <w:rFonts w:ascii="Arial" w:hAnsi="Arial" w:cs="Arial"/>
          <w:color w:val="00B050"/>
          <w:sz w:val="24"/>
          <w:szCs w:val="24"/>
        </w:rPr>
        <w:t xml:space="preserve"> </w:t>
      </w:r>
    </w:p>
    <w:p w:rsidR="00FA05BB" w:rsidRPr="008D2804" w:rsidRDefault="00FA05BB" w:rsidP="00FA05BB">
      <w:pPr>
        <w:pStyle w:val="Paragraphedeliste"/>
        <w:numPr>
          <w:ilvl w:val="0"/>
          <w:numId w:val="1"/>
        </w:numPr>
        <w:rPr>
          <w:rFonts w:ascii="Arial" w:hAnsi="Arial" w:cs="Arial"/>
          <w:i/>
          <w:color w:val="FF0000"/>
          <w:sz w:val="24"/>
          <w:szCs w:val="24"/>
        </w:rPr>
      </w:pPr>
      <w:r w:rsidRPr="00FA05BB">
        <w:rPr>
          <w:rFonts w:ascii="Arial" w:hAnsi="Arial" w:cs="Arial"/>
          <w:color w:val="00B050"/>
          <w:sz w:val="24"/>
          <w:szCs w:val="24"/>
        </w:rPr>
        <w:t xml:space="preserve">la définition des Infractions et peines encourues en matière de </w:t>
      </w:r>
      <w:r w:rsidRPr="00FA05BB">
        <w:rPr>
          <w:rFonts w:ascii="Arial" w:hAnsi="Arial" w:cs="Arial"/>
          <w:b/>
          <w:color w:val="00B050"/>
          <w:sz w:val="24"/>
          <w:szCs w:val="24"/>
        </w:rPr>
        <w:t xml:space="preserve">divisions illégales </w:t>
      </w:r>
      <w:r w:rsidR="00957B96" w:rsidRPr="00957B96">
        <w:rPr>
          <w:rFonts w:ascii="Arial" w:hAnsi="Arial" w:cs="Arial"/>
          <w:i/>
          <w:color w:val="FF0000"/>
          <w:sz w:val="24"/>
          <w:szCs w:val="24"/>
        </w:rPr>
        <w:t>(lien</w:t>
      </w:r>
      <w:r w:rsidR="00957B96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8D2804" w:rsidRPr="008D2804">
        <w:rPr>
          <w:rFonts w:ascii="Arial" w:hAnsi="Arial" w:cs="Arial"/>
          <w:i/>
          <w:color w:val="FF0000"/>
          <w:sz w:val="24"/>
          <w:szCs w:val="24"/>
        </w:rPr>
        <w:t xml:space="preserve">avec les textes "division d'immeubles" figurant dans le 1- textes applicables sous l'item "divisions de logements, permis de louer, permis de diviser") </w:t>
      </w:r>
    </w:p>
    <w:p w:rsidR="00A9599A" w:rsidRDefault="00FA05BB" w:rsidP="00155560">
      <w:pPr>
        <w:rPr>
          <w:rFonts w:eastAsia="Times New Roman" w:cs="Arial"/>
          <w:color w:val="00B050"/>
          <w:lang w:eastAsia="fr-FR"/>
        </w:rPr>
      </w:pPr>
      <w:r>
        <w:rPr>
          <w:rFonts w:ascii="Arial" w:hAnsi="Arial" w:cs="Arial"/>
          <w:b/>
          <w:color w:val="00B050"/>
          <w:sz w:val="24"/>
          <w:szCs w:val="24"/>
        </w:rPr>
        <w:t xml:space="preserve">Une note de jurisprudence pénale </w:t>
      </w:r>
      <w:r w:rsidR="00021B6C">
        <w:rPr>
          <w:rFonts w:ascii="Arial" w:hAnsi="Arial" w:cs="Arial"/>
          <w:b/>
          <w:color w:val="00B050"/>
          <w:sz w:val="24"/>
          <w:szCs w:val="24"/>
        </w:rPr>
        <w:t>(</w:t>
      </w:r>
      <w:r w:rsidR="00021B6C" w:rsidRPr="00021B6C">
        <w:rPr>
          <w:rFonts w:ascii="Arial" w:hAnsi="Arial" w:cs="Arial"/>
          <w:i/>
          <w:color w:val="FF0000"/>
          <w:sz w:val="24"/>
          <w:szCs w:val="24"/>
        </w:rPr>
        <w:t xml:space="preserve">lien avec note </w:t>
      </w:r>
      <w:proofErr w:type="spellStart"/>
      <w:r w:rsidR="00021B6C" w:rsidRPr="00021B6C">
        <w:rPr>
          <w:rFonts w:ascii="Arial" w:hAnsi="Arial" w:cs="Arial"/>
          <w:i/>
          <w:color w:val="FF0000"/>
          <w:sz w:val="24"/>
          <w:szCs w:val="24"/>
        </w:rPr>
        <w:t>jp</w:t>
      </w:r>
      <w:proofErr w:type="spellEnd"/>
      <w:r w:rsidR="00021B6C" w:rsidRPr="00021B6C">
        <w:rPr>
          <w:rFonts w:ascii="Arial" w:hAnsi="Arial" w:cs="Arial"/>
          <w:i/>
          <w:color w:val="FF0000"/>
          <w:sz w:val="24"/>
          <w:szCs w:val="24"/>
        </w:rPr>
        <w:t xml:space="preserve"> pénale MAJ</w:t>
      </w:r>
      <w:r w:rsidR="00021B6C">
        <w:rPr>
          <w:rFonts w:ascii="Arial" w:hAnsi="Arial" w:cs="Arial"/>
          <w:i/>
          <w:color w:val="FF0000"/>
          <w:sz w:val="24"/>
          <w:szCs w:val="24"/>
        </w:rPr>
        <w:t>, à venir</w:t>
      </w:r>
      <w:r w:rsidR="00021B6C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1125F1" w:rsidRPr="00A40D6A" w:rsidRDefault="00957B96" w:rsidP="00A9599A">
      <w:pPr>
        <w:pStyle w:val="Standard"/>
        <w:spacing w:after="0" w:line="240" w:lineRule="auto"/>
        <w:rPr>
          <w:color w:val="00B050"/>
          <w:sz w:val="22"/>
        </w:rPr>
      </w:pPr>
      <w:r w:rsidRPr="00A40D6A">
        <w:rPr>
          <w:rFonts w:eastAsia="Times New Roman" w:cs="Arial"/>
          <w:color w:val="00B050"/>
          <w:sz w:val="22"/>
          <w:lang w:eastAsia="fr-FR"/>
        </w:rPr>
        <w:t>Pour une bonne compréhension des mécanismes de la répression pénale des faits d'habitat indign</w:t>
      </w:r>
      <w:r w:rsidR="001125F1" w:rsidRPr="00A40D6A">
        <w:rPr>
          <w:rFonts w:eastAsia="Times New Roman" w:cs="Arial"/>
          <w:color w:val="00B050"/>
          <w:sz w:val="22"/>
          <w:lang w:eastAsia="fr-FR"/>
        </w:rPr>
        <w:t xml:space="preserve">e, on peut aussi se référer au </w:t>
      </w:r>
      <w:r w:rsidRPr="00A40D6A">
        <w:rPr>
          <w:rFonts w:eastAsia="Times New Roman" w:cs="Arial"/>
          <w:b/>
          <w:color w:val="00B050"/>
          <w:sz w:val="22"/>
          <w:lang w:eastAsia="fr-FR"/>
        </w:rPr>
        <w:t>guide pénal</w:t>
      </w:r>
      <w:r w:rsidRPr="00A40D6A">
        <w:rPr>
          <w:rFonts w:eastAsia="Times New Roman" w:cs="Arial"/>
          <w:color w:val="00B050"/>
          <w:sz w:val="22"/>
          <w:lang w:eastAsia="fr-FR"/>
        </w:rPr>
        <w:t xml:space="preserve"> de la DIHAL/PNLHI) </w:t>
      </w:r>
      <w:r w:rsidRPr="00A40D6A">
        <w:rPr>
          <w:rFonts w:eastAsia="Times New Roman" w:cs="Arial"/>
          <w:i/>
          <w:color w:val="FF0000"/>
          <w:sz w:val="22"/>
          <w:lang w:eastAsia="fr-FR"/>
        </w:rPr>
        <w:t xml:space="preserve">(lien avec le guide figurant dans </w:t>
      </w:r>
      <w:r w:rsidR="001125F1" w:rsidRPr="00A40D6A">
        <w:rPr>
          <w:rFonts w:eastAsia="Times New Roman" w:cs="Arial"/>
          <w:i/>
          <w:color w:val="FF0000"/>
          <w:sz w:val="22"/>
          <w:lang w:eastAsia="fr-FR"/>
        </w:rPr>
        <w:t xml:space="preserve">le 2 de </w:t>
      </w:r>
      <w:r w:rsidRPr="00A40D6A">
        <w:rPr>
          <w:rFonts w:eastAsia="Times New Roman" w:cs="Arial"/>
          <w:i/>
          <w:color w:val="FF0000"/>
          <w:sz w:val="22"/>
          <w:lang w:eastAsia="fr-FR"/>
        </w:rPr>
        <w:t>la partie II</w:t>
      </w:r>
      <w:r w:rsidR="001125F1" w:rsidRPr="00A40D6A">
        <w:rPr>
          <w:rFonts w:eastAsia="Times New Roman" w:cs="Arial"/>
          <w:i/>
          <w:color w:val="FF0000"/>
          <w:sz w:val="22"/>
          <w:lang w:eastAsia="fr-FR"/>
        </w:rPr>
        <w:t>-2 du site internet)</w:t>
      </w:r>
      <w:r w:rsidR="00A40D6A" w:rsidRPr="00A40D6A">
        <w:rPr>
          <w:rFonts w:eastAsia="Times New Roman" w:cs="Arial"/>
          <w:i/>
          <w:color w:val="00B050"/>
          <w:sz w:val="22"/>
          <w:lang w:eastAsia="fr-FR"/>
        </w:rPr>
        <w:t xml:space="preserve"> ainsi qu'au </w:t>
      </w:r>
      <w:r w:rsidR="00A40D6A" w:rsidRPr="00A40D6A">
        <w:rPr>
          <w:rFonts w:eastAsia="Times New Roman" w:cs="Arial"/>
          <w:b/>
          <w:color w:val="00B050"/>
          <w:sz w:val="22"/>
          <w:lang w:eastAsia="fr-FR"/>
        </w:rPr>
        <w:t xml:space="preserve">guide pratique </w:t>
      </w:r>
      <w:r w:rsidR="00A40D6A" w:rsidRPr="00A40D6A">
        <w:rPr>
          <w:b/>
          <w:color w:val="00B050"/>
          <w:sz w:val="22"/>
        </w:rPr>
        <w:t>du recours au procureur de la République</w:t>
      </w:r>
      <w:r w:rsidR="00A40D6A" w:rsidRPr="00A40D6A">
        <w:rPr>
          <w:color w:val="00B050"/>
          <w:sz w:val="22"/>
        </w:rPr>
        <w:t xml:space="preserve"> de la DIHAL/PNLHI </w:t>
      </w:r>
      <w:r w:rsidR="00A40D6A" w:rsidRPr="00A40D6A">
        <w:rPr>
          <w:rFonts w:eastAsia="Times New Roman" w:cs="Arial"/>
          <w:i/>
          <w:color w:val="FF0000"/>
          <w:sz w:val="22"/>
          <w:lang w:eastAsia="fr-FR"/>
        </w:rPr>
        <w:t xml:space="preserve">(lien avec le guide </w:t>
      </w:r>
      <w:r w:rsidR="00E2708E">
        <w:rPr>
          <w:rFonts w:eastAsia="Times New Roman" w:cs="Arial"/>
          <w:i/>
          <w:color w:val="FF0000"/>
          <w:sz w:val="22"/>
          <w:lang w:eastAsia="fr-FR"/>
        </w:rPr>
        <w:t xml:space="preserve">pratique </w:t>
      </w:r>
      <w:proofErr w:type="spellStart"/>
      <w:r w:rsidR="00E2708E">
        <w:rPr>
          <w:rFonts w:eastAsia="Times New Roman" w:cs="Arial"/>
          <w:i/>
          <w:color w:val="FF0000"/>
          <w:sz w:val="22"/>
          <w:lang w:eastAsia="fr-FR"/>
        </w:rPr>
        <w:t>pratique</w:t>
      </w:r>
      <w:proofErr w:type="spellEnd"/>
      <w:r w:rsidR="00E2708E">
        <w:rPr>
          <w:rFonts w:eastAsia="Times New Roman" w:cs="Arial"/>
          <w:i/>
          <w:color w:val="FF0000"/>
          <w:sz w:val="22"/>
          <w:lang w:eastAsia="fr-FR"/>
        </w:rPr>
        <w:t xml:space="preserve"> de recours au procureur, </w:t>
      </w:r>
      <w:r w:rsidR="00A40D6A" w:rsidRPr="00A40D6A">
        <w:rPr>
          <w:rFonts w:eastAsia="Times New Roman" w:cs="Arial"/>
          <w:i/>
          <w:color w:val="FF0000"/>
          <w:sz w:val="22"/>
          <w:lang w:eastAsia="fr-FR"/>
        </w:rPr>
        <w:t>figurant dans le 2 de la partie II-2 du site internet)</w:t>
      </w:r>
    </w:p>
    <w:p w:rsidR="00A40D6A" w:rsidRPr="00A40D6A" w:rsidRDefault="00A40D6A" w:rsidP="00A9599A">
      <w:pPr>
        <w:pStyle w:val="Standard"/>
        <w:spacing w:after="0" w:line="240" w:lineRule="auto"/>
        <w:rPr>
          <w:rFonts w:eastAsia="Times New Roman" w:cs="Arial"/>
          <w:i/>
          <w:color w:val="00B050"/>
          <w:sz w:val="22"/>
          <w:lang w:eastAsia="fr-FR"/>
        </w:rPr>
      </w:pPr>
      <w:r w:rsidRPr="00A40D6A">
        <w:rPr>
          <w:color w:val="00B050"/>
          <w:sz w:val="22"/>
        </w:rPr>
        <w:t xml:space="preserve">Ces deux guides, même s'ils datent de 2011 et 2013, conservent toute leur pertinence, sachant que les références législatives ont été modifiées </w:t>
      </w:r>
      <w:r>
        <w:rPr>
          <w:color w:val="00B050"/>
          <w:sz w:val="22"/>
        </w:rPr>
        <w:t xml:space="preserve">et partiellement complétées </w:t>
      </w:r>
      <w:r w:rsidRPr="00A40D6A">
        <w:rPr>
          <w:color w:val="00B050"/>
          <w:sz w:val="22"/>
        </w:rPr>
        <w:t>par la loi ELAN et l'ordonnance de septembre 2020</w:t>
      </w:r>
    </w:p>
    <w:p w:rsidR="00A9599A" w:rsidRPr="00A40D6A" w:rsidRDefault="00A9599A" w:rsidP="00FA05BB">
      <w:pPr>
        <w:rPr>
          <w:rFonts w:ascii="Arial" w:hAnsi="Arial" w:cs="Arial"/>
          <w:color w:val="00B050"/>
        </w:rPr>
      </w:pPr>
    </w:p>
    <w:p w:rsidR="00FA05BB" w:rsidRPr="00FA05BB" w:rsidRDefault="00FA05BB">
      <w:pPr>
        <w:rPr>
          <w:color w:val="00B050"/>
        </w:rPr>
      </w:pPr>
    </w:p>
    <w:sectPr w:rsidR="00FA05BB" w:rsidRPr="00FA05BB" w:rsidSect="00670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0FE6"/>
    <w:multiLevelType w:val="hybridMultilevel"/>
    <w:tmpl w:val="2D184374"/>
    <w:lvl w:ilvl="0" w:tplc="FA02C90A">
      <w:start w:val="13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5BB"/>
    <w:rsid w:val="00007DAB"/>
    <w:rsid w:val="00021B6C"/>
    <w:rsid w:val="00092845"/>
    <w:rsid w:val="001125F1"/>
    <w:rsid w:val="00120F22"/>
    <w:rsid w:val="00127275"/>
    <w:rsid w:val="00155560"/>
    <w:rsid w:val="005C71F8"/>
    <w:rsid w:val="006708C9"/>
    <w:rsid w:val="008D2804"/>
    <w:rsid w:val="00957B96"/>
    <w:rsid w:val="00A40D6A"/>
    <w:rsid w:val="00A9599A"/>
    <w:rsid w:val="00BC1772"/>
    <w:rsid w:val="00DE3A92"/>
    <w:rsid w:val="00E2708E"/>
    <w:rsid w:val="00FA0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05BB"/>
    <w:pPr>
      <w:ind w:left="720"/>
      <w:contextualSpacing/>
    </w:pPr>
  </w:style>
  <w:style w:type="paragraph" w:customStyle="1" w:styleId="Standard">
    <w:name w:val="Standard"/>
    <w:rsid w:val="00A9599A"/>
    <w:pPr>
      <w:suppressAutoHyphens/>
      <w:autoSpaceDN w:val="0"/>
      <w:textAlignment w:val="baseline"/>
    </w:pPr>
    <w:rPr>
      <w:rFonts w:ascii="Arial" w:eastAsia="SimSun" w:hAnsi="Arial" w:cs="Calibri"/>
      <w:kern w:val="3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bouche</dc:creator>
  <cp:lastModifiedBy>nancy bouche</cp:lastModifiedBy>
  <cp:revision>3</cp:revision>
  <dcterms:created xsi:type="dcterms:W3CDTF">2023-07-18T06:45:00Z</dcterms:created>
  <dcterms:modified xsi:type="dcterms:W3CDTF">2023-07-18T06:48:00Z</dcterms:modified>
</cp:coreProperties>
</file>