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23" w:rsidRDefault="00CD4420" w:rsidP="00F37B23">
      <w:pPr>
        <w:shd w:val="clear" w:color="auto" w:fill="FFFFFF"/>
        <w:spacing w:before="100" w:beforeAutospacing="1" w:after="100" w:afterAutospacing="1" w:line="240" w:lineRule="auto"/>
        <w:textAlignment w:val="top"/>
        <w:rPr>
          <w:rFonts w:ascii="Arial" w:eastAsia="Times New Roman" w:hAnsi="Arial" w:cs="Arial"/>
          <w:b/>
          <w:bCs/>
          <w:color w:val="000000"/>
          <w:sz w:val="34"/>
          <w:szCs w:val="34"/>
          <w:lang w:eastAsia="fr-FR"/>
        </w:rPr>
      </w:pPr>
      <w:r>
        <w:fldChar w:fldCharType="begin"/>
      </w:r>
      <w:r>
        <w:instrText>HYPERLINK "https://www.legifrance.gouv.fr/codes/texte_lc/LEGITEXT000006070721/2022-04-06/"</w:instrText>
      </w:r>
      <w:r>
        <w:fldChar w:fldCharType="separate"/>
      </w:r>
      <w:r w:rsidR="00F37B23" w:rsidRPr="00F37B23">
        <w:rPr>
          <w:rFonts w:ascii="Arial" w:eastAsia="Times New Roman" w:hAnsi="Arial" w:cs="Arial"/>
          <w:b/>
          <w:bCs/>
          <w:color w:val="4A5E81"/>
          <w:sz w:val="34"/>
          <w:szCs w:val="34"/>
          <w:u w:val="single"/>
          <w:lang w:eastAsia="fr-FR"/>
        </w:rPr>
        <w:t>Code civil</w:t>
      </w:r>
      <w:r>
        <w:fldChar w:fldCharType="end"/>
      </w:r>
    </w:p>
    <w:p w:rsidR="00F37B23" w:rsidRPr="00F37B23" w:rsidRDefault="00CD4420" w:rsidP="00F37B23">
      <w:pPr>
        <w:shd w:val="clear" w:color="auto" w:fill="FFFFFF"/>
        <w:spacing w:before="100" w:beforeAutospacing="1" w:after="100" w:afterAutospacing="1" w:line="288" w:lineRule="atLeast"/>
        <w:textAlignment w:val="top"/>
        <w:rPr>
          <w:rFonts w:ascii="Arial" w:eastAsia="Times New Roman" w:hAnsi="Arial" w:cs="Arial"/>
          <w:color w:val="000000"/>
          <w:sz w:val="24"/>
          <w:szCs w:val="24"/>
          <w:lang w:eastAsia="fr-FR"/>
        </w:rPr>
      </w:pPr>
      <w:hyperlink r:id="rId5" w:anchor="LEGISCTA000006091495" w:history="1">
        <w:r w:rsidR="00F37B23" w:rsidRPr="00F37B23">
          <w:rPr>
            <w:rFonts w:ascii="Arial" w:eastAsia="Times New Roman" w:hAnsi="Arial" w:cs="Arial"/>
            <w:b/>
            <w:bCs/>
            <w:color w:val="D51622"/>
            <w:sz w:val="24"/>
            <w:szCs w:val="24"/>
            <w:lang w:eastAsia="fr-FR"/>
          </w:rPr>
          <w:t>Livre IV : Des sûretés (Articles 2284 à 2488-12)</w:t>
        </w:r>
      </w:hyperlink>
    </w:p>
    <w:p w:rsidR="00F37B23" w:rsidRPr="00F37B23" w:rsidRDefault="00CD4420" w:rsidP="00F37B23">
      <w:pPr>
        <w:shd w:val="clear" w:color="auto" w:fill="FFFFFF"/>
        <w:spacing w:before="100" w:beforeAutospacing="1" w:after="100" w:afterAutospacing="1" w:line="288" w:lineRule="atLeast"/>
        <w:textAlignment w:val="top"/>
        <w:rPr>
          <w:rFonts w:ascii="Arial" w:eastAsia="Times New Roman" w:hAnsi="Arial" w:cs="Arial"/>
          <w:color w:val="000000"/>
          <w:sz w:val="21"/>
          <w:szCs w:val="21"/>
          <w:lang w:eastAsia="fr-FR"/>
        </w:rPr>
      </w:pPr>
      <w:hyperlink r:id="rId6" w:anchor="LEGISCTA000006118201" w:history="1">
        <w:r w:rsidR="00F37B23" w:rsidRPr="00F37B23">
          <w:rPr>
            <w:rFonts w:ascii="Arial" w:eastAsia="Times New Roman" w:hAnsi="Arial" w:cs="Arial"/>
            <w:b/>
            <w:bCs/>
            <w:color w:val="4A5E81"/>
            <w:sz w:val="21"/>
            <w:szCs w:val="21"/>
            <w:u w:val="single"/>
            <w:lang w:eastAsia="fr-FR"/>
          </w:rPr>
          <w:t>Titre II : Des sûretés réelles (Articles 2323 à 2488-5)</w:t>
        </w:r>
      </w:hyperlink>
    </w:p>
    <w:p w:rsidR="00F37B23" w:rsidRPr="00F37B23" w:rsidRDefault="00CD4420" w:rsidP="00F37B23">
      <w:pPr>
        <w:shd w:val="clear" w:color="auto" w:fill="FFFFFF"/>
        <w:spacing w:before="100" w:beforeAutospacing="1" w:after="100" w:afterAutospacing="1" w:line="288" w:lineRule="atLeast"/>
        <w:textAlignment w:val="top"/>
        <w:rPr>
          <w:rFonts w:ascii="Arial" w:eastAsia="Times New Roman" w:hAnsi="Arial" w:cs="Arial"/>
          <w:color w:val="000000"/>
          <w:sz w:val="21"/>
          <w:szCs w:val="21"/>
          <w:lang w:eastAsia="fr-FR"/>
        </w:rPr>
      </w:pPr>
      <w:hyperlink r:id="rId7" w:anchor="LEGISCTA000006136444" w:history="1">
        <w:r w:rsidR="00F37B23" w:rsidRPr="00F37B23">
          <w:rPr>
            <w:rFonts w:ascii="Arial" w:eastAsia="Times New Roman" w:hAnsi="Arial" w:cs="Arial"/>
            <w:b/>
            <w:bCs/>
            <w:color w:val="4A5E81"/>
            <w:sz w:val="21"/>
            <w:szCs w:val="21"/>
            <w:u w:val="single"/>
            <w:lang w:eastAsia="fr-FR"/>
          </w:rPr>
          <w:t>Sous-titre III : Des sûretés sur les immeubles (Articles 2375 à 2488-5)</w:t>
        </w:r>
      </w:hyperlink>
    </w:p>
    <w:p w:rsidR="00F37B23" w:rsidRPr="00F37B23" w:rsidRDefault="00CD4420" w:rsidP="00F37B23">
      <w:pPr>
        <w:shd w:val="clear" w:color="auto" w:fill="FFFFFF"/>
        <w:spacing w:before="100" w:beforeAutospacing="1" w:after="100" w:afterAutospacing="1" w:line="288" w:lineRule="atLeast"/>
        <w:textAlignment w:val="top"/>
        <w:rPr>
          <w:rFonts w:ascii="Arial" w:eastAsia="Times New Roman" w:hAnsi="Arial" w:cs="Arial"/>
          <w:color w:val="000000"/>
          <w:sz w:val="21"/>
          <w:szCs w:val="21"/>
          <w:lang w:eastAsia="fr-FR"/>
        </w:rPr>
      </w:pPr>
      <w:hyperlink r:id="rId8" w:anchor="LEGISCTA000006150396" w:history="1">
        <w:r w:rsidR="00F37B23" w:rsidRPr="00F37B23">
          <w:rPr>
            <w:rFonts w:ascii="Arial" w:eastAsia="Times New Roman" w:hAnsi="Arial" w:cs="Arial"/>
            <w:b/>
            <w:bCs/>
            <w:color w:val="4A5E81"/>
            <w:sz w:val="21"/>
            <w:szCs w:val="21"/>
            <w:u w:val="single"/>
            <w:lang w:eastAsia="fr-FR"/>
          </w:rPr>
          <w:t>Chapitre III : Des hypothèques (Articles 2385 à 2474)</w:t>
        </w:r>
      </w:hyperlink>
    </w:p>
    <w:p w:rsidR="00F37B23" w:rsidRPr="00F37B23" w:rsidRDefault="00CD4420" w:rsidP="00F37B23">
      <w:pPr>
        <w:shd w:val="clear" w:color="auto" w:fill="FFFFFF"/>
        <w:spacing w:before="100" w:beforeAutospacing="1" w:after="100" w:afterAutospacing="1" w:line="288" w:lineRule="atLeast"/>
        <w:textAlignment w:val="top"/>
        <w:rPr>
          <w:rFonts w:ascii="Arial" w:eastAsia="Times New Roman" w:hAnsi="Arial" w:cs="Arial"/>
          <w:color w:val="000000"/>
          <w:sz w:val="21"/>
          <w:szCs w:val="21"/>
          <w:lang w:eastAsia="fr-FR"/>
        </w:rPr>
      </w:pPr>
      <w:hyperlink r:id="rId9" w:anchor="LEGISCTA000044072197" w:history="1">
        <w:r w:rsidR="00F37B23" w:rsidRPr="00F37B23">
          <w:rPr>
            <w:rFonts w:ascii="Arial" w:eastAsia="Times New Roman" w:hAnsi="Arial" w:cs="Arial"/>
            <w:b/>
            <w:bCs/>
            <w:color w:val="4A5E81"/>
            <w:sz w:val="21"/>
            <w:szCs w:val="21"/>
            <w:u w:val="single"/>
            <w:lang w:eastAsia="fr-FR"/>
          </w:rPr>
          <w:t>Section 2 : Des hypothèques légales (Articles 2392 à 2407)</w:t>
        </w:r>
      </w:hyperlink>
    </w:p>
    <w:p w:rsidR="00F37B23" w:rsidRPr="00F37B23" w:rsidRDefault="00CD4420" w:rsidP="00AC4733">
      <w:pPr>
        <w:pBdr>
          <w:left w:val="single" w:sz="36" w:space="11" w:color="D51622"/>
        </w:pBdr>
        <w:shd w:val="clear" w:color="auto" w:fill="F5F5F5"/>
        <w:spacing w:after="0" w:line="240" w:lineRule="atLeast"/>
        <w:textAlignment w:val="top"/>
        <w:rPr>
          <w:rFonts w:ascii="Arial" w:eastAsia="Times New Roman" w:hAnsi="Arial" w:cs="Arial"/>
          <w:color w:val="000000"/>
          <w:sz w:val="24"/>
          <w:szCs w:val="24"/>
          <w:lang w:eastAsia="fr-FR"/>
        </w:rPr>
      </w:pPr>
      <w:hyperlink r:id="rId10" w:anchor="LEGISCTA000044072144" w:history="1">
        <w:r w:rsidR="00F37B23" w:rsidRPr="00F37B23">
          <w:rPr>
            <w:rFonts w:ascii="Arial" w:eastAsia="Times New Roman" w:hAnsi="Arial" w:cs="Arial"/>
            <w:b/>
            <w:bCs/>
            <w:color w:val="4A5E81"/>
            <w:sz w:val="24"/>
            <w:szCs w:val="24"/>
            <w:u w:val="single"/>
            <w:lang w:eastAsia="fr-FR"/>
          </w:rPr>
          <w:t>Sous-section 2 : Des hypothèques spéciales (Articles 2402 à 2407)</w:t>
        </w:r>
      </w:hyperlink>
    </w:p>
    <w:p w:rsidR="00AC4733" w:rsidRDefault="00AC4733" w:rsidP="00AC4733">
      <w:pPr>
        <w:shd w:val="clear" w:color="auto" w:fill="FFFFFF"/>
        <w:spacing w:after="0" w:line="240" w:lineRule="atLeast"/>
        <w:textAlignment w:val="top"/>
        <w:rPr>
          <w:rFonts w:ascii="Arial" w:eastAsia="Times New Roman" w:hAnsi="Arial" w:cs="Arial"/>
          <w:b/>
          <w:bCs/>
          <w:color w:val="4A5E81"/>
          <w:sz w:val="24"/>
          <w:szCs w:val="24"/>
          <w:lang w:eastAsia="fr-FR"/>
        </w:rPr>
      </w:pPr>
    </w:p>
    <w:p w:rsidR="00AC4733" w:rsidRDefault="00CD4420" w:rsidP="00AC4733">
      <w:pPr>
        <w:shd w:val="clear" w:color="auto" w:fill="FFFFFF"/>
        <w:spacing w:after="0" w:line="240" w:lineRule="atLeast"/>
        <w:textAlignment w:val="top"/>
        <w:rPr>
          <w:rFonts w:ascii="Arial" w:eastAsia="Times New Roman" w:hAnsi="Arial" w:cs="Arial"/>
          <w:b/>
          <w:bCs/>
          <w:color w:val="000000"/>
          <w:sz w:val="24"/>
          <w:szCs w:val="24"/>
          <w:lang w:eastAsia="fr-FR"/>
        </w:rPr>
      </w:pPr>
      <w:hyperlink r:id="rId11" w:history="1">
        <w:r w:rsidR="00F37B23" w:rsidRPr="00F37B23">
          <w:rPr>
            <w:rFonts w:ascii="Arial" w:eastAsia="Times New Roman" w:hAnsi="Arial" w:cs="Arial"/>
            <w:b/>
            <w:bCs/>
            <w:color w:val="4A5E81"/>
            <w:sz w:val="24"/>
            <w:szCs w:val="24"/>
            <w:u w:val="single"/>
            <w:lang w:eastAsia="fr-FR"/>
          </w:rPr>
          <w:t>Article 2402</w:t>
        </w:r>
      </w:hyperlink>
      <w:r w:rsidR="00AC4733">
        <w:rPr>
          <w:rFonts w:ascii="Arial" w:eastAsia="Times New Roman" w:hAnsi="Arial" w:cs="Arial"/>
          <w:b/>
          <w:bCs/>
          <w:color w:val="4A5E81"/>
          <w:sz w:val="24"/>
          <w:szCs w:val="24"/>
          <w:lang w:eastAsia="fr-FR"/>
        </w:rPr>
        <w:t xml:space="preserve"> </w:t>
      </w:r>
      <w:hyperlink r:id="rId12" w:history="1">
        <w:r w:rsidR="00F37B23" w:rsidRPr="00F37B23">
          <w:rPr>
            <w:rFonts w:ascii="Arial" w:eastAsia="Times New Roman" w:hAnsi="Arial" w:cs="Arial"/>
            <w:b/>
            <w:bCs/>
            <w:color w:val="4A5E81"/>
            <w:sz w:val="24"/>
            <w:szCs w:val="24"/>
            <w:u w:val="single"/>
            <w:lang w:eastAsia="fr-FR"/>
          </w:rPr>
          <w:t>Modifié par Ordonnance n°2021-1192 du 15 septembre 2021 - art. 15</w:t>
        </w:r>
        <w:r w:rsidR="00AC4733">
          <w:rPr>
            <w:rFonts w:ascii="Arial" w:eastAsia="Times New Roman" w:hAnsi="Arial" w:cs="Arial"/>
            <w:b/>
            <w:bCs/>
            <w:color w:val="4A5E81"/>
            <w:sz w:val="24"/>
            <w:szCs w:val="24"/>
            <w:u w:val="single"/>
            <w:lang w:eastAsia="fr-FR"/>
          </w:rPr>
          <w:t xml:space="preserve"> et art 17 </w:t>
        </w:r>
        <w:r w:rsidR="00F37B23" w:rsidRPr="00F37B23">
          <w:rPr>
            <w:rFonts w:ascii="Arial" w:eastAsia="Times New Roman" w:hAnsi="Arial" w:cs="Arial"/>
            <w:b/>
            <w:bCs/>
            <w:color w:val="4A5E81"/>
            <w:sz w:val="24"/>
            <w:szCs w:val="24"/>
            <w:u w:val="single"/>
            <w:lang w:eastAsia="fr-FR"/>
          </w:rPr>
          <w:br/>
        </w:r>
      </w:hyperlink>
    </w:p>
    <w:p w:rsid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Outre celles prévues par des lois spéciales, les créances auxquelles une hypothèque légale spéciale est attachée sont les suivantes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1° La créance du prix de vente d'un immeuble est garantie sur celui-ci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2° La créance de celui qui a fourni les deniers pour l'acquisition d'un immeuble est garantie sur celui-ci pourvu qu'il soit authentiquement constaté par l'acte d'emprunt que la somme était destinée à cet emploi, et par la quittance du vendeur que ce paiement a été fait des deniers empruntés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3° Les créances de toute nature du syndicat des copropriétaires relatives à l'année courante ainsi qu'aux quatre dernières années échues sont garanties sur le lot vendu du copropriétaire débiteur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4° La créance d'un héritier ou d'un copartageant, par l'effet du partage, du rapport ou de la réduction est garantie sur les immeubles partagés, donnés ou légués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5° Les créances sur une personne défunte et les legs de sommes d'argent d'une part, les créances sur la personne de l'héritier d'autre part, sont respectivement garantis sur les immeubles successoraux et les immeubles personnels de l'héritier comme il est dit à l'article 878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6° La créance de l'accédant à la propriété titulaire d'un contrat de location-accession régi par la loi n° 84-595 du 12 juillet 1984 définissant la location-accession à la propriété immobilière est garantie sur l'immeuble faisant l'objet du contrat, pour la garantie des droits qu'il tient de ce contrat ;</w:t>
      </w:r>
      <w:r w:rsidRPr="00F37B23">
        <w:rPr>
          <w:rFonts w:ascii="Arial" w:eastAsia="Times New Roman" w:hAnsi="Arial" w:cs="Arial"/>
          <w:color w:val="000000"/>
          <w:sz w:val="24"/>
          <w:szCs w:val="24"/>
          <w:lang w:eastAsia="fr-FR"/>
        </w:rPr>
        <w:br/>
      </w:r>
      <w:r w:rsidRPr="00F37B23">
        <w:rPr>
          <w:rFonts w:ascii="Arial" w:eastAsia="Times New Roman" w:hAnsi="Arial" w:cs="Arial"/>
          <w:color w:val="000000"/>
          <w:sz w:val="24"/>
          <w:szCs w:val="24"/>
          <w:lang w:eastAsia="fr-FR"/>
        </w:rPr>
        <w:br/>
        <w:t>7° Les créances de l'</w:t>
      </w:r>
      <w:proofErr w:type="spellStart"/>
      <w:r w:rsidRPr="00F37B23">
        <w:rPr>
          <w:rFonts w:ascii="Arial" w:eastAsia="Times New Roman" w:hAnsi="Arial" w:cs="Arial"/>
          <w:color w:val="000000"/>
          <w:sz w:val="24"/>
          <w:szCs w:val="24"/>
          <w:lang w:eastAsia="fr-FR"/>
        </w:rPr>
        <w:t>Etat</w:t>
      </w:r>
      <w:proofErr w:type="spellEnd"/>
      <w:r w:rsidRPr="00F37B23">
        <w:rPr>
          <w:rFonts w:ascii="Arial" w:eastAsia="Times New Roman" w:hAnsi="Arial" w:cs="Arial"/>
          <w:color w:val="000000"/>
          <w:sz w:val="24"/>
          <w:szCs w:val="24"/>
          <w:lang w:eastAsia="fr-FR"/>
        </w:rPr>
        <w:t>, de la commune, de l'établissement public de coopération intercommunale à fiscalité propre ou de la métropole de Lyon, selon le cas, nées de l'application de l'article L.184-1, du chapitre Ier du titre Ier du livre V ou de l'article L. 521-3-2 du code de la construction et de l'habitation sont garanties sur les immeubles faisant l'objet des mesures prises en application de ces dispositions.</w:t>
      </w:r>
    </w:p>
    <w:p w:rsidR="00860051" w:rsidRPr="00F37B23" w:rsidRDefault="00860051" w:rsidP="00AC4733">
      <w:pPr>
        <w:shd w:val="clear" w:color="auto" w:fill="FFFFFF"/>
        <w:spacing w:after="0" w:line="240" w:lineRule="atLeast"/>
        <w:textAlignment w:val="top"/>
        <w:rPr>
          <w:rFonts w:ascii="Arial" w:eastAsia="Times New Roman" w:hAnsi="Arial" w:cs="Arial"/>
          <w:color w:val="000000"/>
          <w:sz w:val="24"/>
          <w:szCs w:val="24"/>
          <w:lang w:eastAsia="fr-FR"/>
        </w:rPr>
      </w:pPr>
    </w:p>
    <w:p w:rsidR="00F37B23" w:rsidRDefault="00CD4420" w:rsidP="00AC4733">
      <w:pPr>
        <w:shd w:val="clear" w:color="auto" w:fill="FFFFFF"/>
        <w:spacing w:after="0" w:line="240" w:lineRule="atLeast"/>
        <w:textAlignment w:val="top"/>
      </w:pPr>
      <w:hyperlink r:id="rId13" w:history="1">
        <w:r w:rsidR="00F37B23" w:rsidRPr="00F37B23">
          <w:rPr>
            <w:rFonts w:ascii="Arial" w:eastAsia="Times New Roman" w:hAnsi="Arial" w:cs="Arial"/>
            <w:b/>
            <w:bCs/>
            <w:color w:val="4A5E81"/>
            <w:sz w:val="24"/>
            <w:szCs w:val="24"/>
            <w:u w:val="single"/>
            <w:lang w:eastAsia="fr-FR"/>
          </w:rPr>
          <w:t>Article 2403</w:t>
        </w:r>
      </w:hyperlink>
    </w:p>
    <w:p w:rsidR="007B110C" w:rsidRPr="00F37B23" w:rsidRDefault="007B110C" w:rsidP="00AC4733">
      <w:pPr>
        <w:shd w:val="clear" w:color="auto" w:fill="FFFFFF"/>
        <w:spacing w:after="0" w:line="240" w:lineRule="atLeast"/>
        <w:textAlignment w:val="top"/>
        <w:rPr>
          <w:rFonts w:ascii="Arial" w:eastAsia="Times New Roman" w:hAnsi="Arial" w:cs="Arial"/>
          <w:b/>
          <w:bCs/>
          <w:color w:val="4A5E81"/>
          <w:sz w:val="24"/>
          <w:szCs w:val="24"/>
          <w:lang w:eastAsia="fr-FR"/>
        </w:rPr>
      </w:pPr>
    </w:p>
    <w:p w:rsid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L'action résolutoire établie par l'article 1654 ne peut être exercée après l'extinction de l'hypothèque spéciale du vendeur, ou à défaut d'inscription de cette hypothèque, au préjudice des tiers qui ont acquis les droits sur l'immeuble du chef de l'acquéreur et qui les ont publiés.</w:t>
      </w:r>
    </w:p>
    <w:p w:rsidR="00860051" w:rsidRPr="00F37B23" w:rsidRDefault="00860051" w:rsidP="00AC4733">
      <w:pPr>
        <w:shd w:val="clear" w:color="auto" w:fill="FFFFFF"/>
        <w:spacing w:after="0" w:line="240" w:lineRule="atLeast"/>
        <w:textAlignment w:val="top"/>
        <w:rPr>
          <w:rFonts w:ascii="Arial" w:eastAsia="Times New Roman" w:hAnsi="Arial" w:cs="Arial"/>
          <w:color w:val="000000"/>
          <w:sz w:val="24"/>
          <w:szCs w:val="24"/>
          <w:lang w:eastAsia="fr-FR"/>
        </w:rPr>
      </w:pPr>
    </w:p>
    <w:p w:rsidR="00AC4733" w:rsidRDefault="00CD4420" w:rsidP="00AC4733">
      <w:pPr>
        <w:shd w:val="clear" w:color="auto" w:fill="FFFFFF"/>
        <w:spacing w:after="0" w:line="240" w:lineRule="atLeast"/>
        <w:textAlignment w:val="top"/>
        <w:rPr>
          <w:rFonts w:ascii="Arial" w:eastAsia="Times New Roman" w:hAnsi="Arial" w:cs="Arial"/>
          <w:b/>
          <w:bCs/>
          <w:color w:val="4A5E81"/>
          <w:sz w:val="24"/>
          <w:szCs w:val="24"/>
          <w:lang w:eastAsia="fr-FR"/>
        </w:rPr>
      </w:pPr>
      <w:hyperlink r:id="rId14" w:history="1">
        <w:r w:rsidR="00F37B23" w:rsidRPr="00F37B23">
          <w:rPr>
            <w:rFonts w:ascii="Arial" w:eastAsia="Times New Roman" w:hAnsi="Arial" w:cs="Arial"/>
            <w:b/>
            <w:bCs/>
            <w:color w:val="4A5E81"/>
            <w:sz w:val="24"/>
            <w:szCs w:val="24"/>
            <w:u w:val="single"/>
            <w:lang w:eastAsia="fr-FR"/>
          </w:rPr>
          <w:t>Article 2404</w:t>
        </w:r>
      </w:hyperlink>
      <w:r w:rsidR="00AC4733">
        <w:rPr>
          <w:rFonts w:ascii="Arial" w:eastAsia="Times New Roman" w:hAnsi="Arial" w:cs="Arial"/>
          <w:b/>
          <w:bCs/>
          <w:color w:val="4A5E81"/>
          <w:sz w:val="24"/>
          <w:szCs w:val="24"/>
          <w:lang w:eastAsia="fr-FR"/>
        </w:rPr>
        <w:t xml:space="preserve">/ </w:t>
      </w:r>
    </w:p>
    <w:p w:rsidR="007B110C" w:rsidRDefault="007B110C" w:rsidP="00AC4733">
      <w:pPr>
        <w:shd w:val="clear" w:color="auto" w:fill="FFFFFF"/>
        <w:spacing w:after="0" w:line="240" w:lineRule="atLeast"/>
        <w:textAlignment w:val="top"/>
        <w:rPr>
          <w:rFonts w:ascii="Arial" w:eastAsia="Times New Roman" w:hAnsi="Arial" w:cs="Arial"/>
          <w:b/>
          <w:bCs/>
          <w:color w:val="000000"/>
          <w:sz w:val="24"/>
          <w:szCs w:val="24"/>
          <w:lang w:eastAsia="fr-FR"/>
        </w:rPr>
      </w:pPr>
    </w:p>
    <w:p w:rsid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Le titulaire de la créance visée au 7° de l'article 2402 conserve son hypothèque par la double inscription faite :</w:t>
      </w:r>
    </w:p>
    <w:p w:rsidR="007B110C" w:rsidRPr="00F37B23" w:rsidRDefault="007B110C" w:rsidP="00AC4733">
      <w:pPr>
        <w:shd w:val="clear" w:color="auto" w:fill="FFFFFF"/>
        <w:spacing w:after="0" w:line="240" w:lineRule="atLeast"/>
        <w:textAlignment w:val="top"/>
        <w:rPr>
          <w:rFonts w:ascii="Arial" w:eastAsia="Times New Roman" w:hAnsi="Arial" w:cs="Arial"/>
          <w:color w:val="000000"/>
          <w:sz w:val="24"/>
          <w:szCs w:val="24"/>
          <w:lang w:eastAsia="fr-FR"/>
        </w:rPr>
      </w:pPr>
    </w:p>
    <w:p w:rsid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1° Par l'auteur de l'arrêté de police pris en application de l'article L.184-1 du code de la construction et de l'habitation pour les mesures édictées sous peine d'interdiction d'habiter ou d'utiliser les locaux ou de fermeture définitive de l'établissement ou de l'article L. 511-11 du même code comportant une évaluation sommaire du coût des mesures ou des travaux à exécuter ;</w:t>
      </w:r>
    </w:p>
    <w:p w:rsidR="007B110C" w:rsidRPr="00F37B23" w:rsidRDefault="007B110C" w:rsidP="00AC4733">
      <w:pPr>
        <w:shd w:val="clear" w:color="auto" w:fill="FFFFFF"/>
        <w:spacing w:after="0" w:line="240" w:lineRule="atLeast"/>
        <w:textAlignment w:val="top"/>
        <w:rPr>
          <w:rFonts w:ascii="Arial" w:eastAsia="Times New Roman" w:hAnsi="Arial" w:cs="Arial"/>
          <w:color w:val="000000"/>
          <w:sz w:val="24"/>
          <w:szCs w:val="24"/>
          <w:lang w:eastAsia="fr-FR"/>
        </w:rPr>
      </w:pPr>
    </w:p>
    <w:p w:rsidR="00F37B23" w:rsidRP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2° Du titre de recouvrement de la créance par son auteur.</w:t>
      </w:r>
    </w:p>
    <w:p w:rsidR="00F37B23" w:rsidRP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Pour les créances nées de l'application du chapitre Ier du titre Ier du livre V ou de l'article L. 521-3-2 du code de la construction et de l'habitation lorsque la démolition du bâtiment déclaré insalubre ou menaçant ruine a été ordonnée, l'hypothèque prend rang à concurrence du montant évalué ou de celui du titre de recouvrement, s'il lui est inférieur, à compter de la première inscription et à compter de la deuxième inscription pour la fraction du montant du titre de recouvrement qui serait supérieure au montant résultant de la première inscription.</w:t>
      </w:r>
    </w:p>
    <w:p w:rsidR="00F37B23" w:rsidRP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Pour les autres créances, l'hypothèque est conservée à concurrence du montant évalué ou de celui du titre de recouvrement, s'il lui est inférieur.</w:t>
      </w:r>
    </w:p>
    <w:p w:rsidR="00860051" w:rsidRDefault="00860051" w:rsidP="00AC4733">
      <w:pPr>
        <w:shd w:val="clear" w:color="auto" w:fill="FFFFFF"/>
        <w:spacing w:after="0" w:line="240" w:lineRule="atLeast"/>
        <w:textAlignment w:val="top"/>
        <w:rPr>
          <w:rFonts w:ascii="Arial" w:eastAsia="Times New Roman" w:hAnsi="Arial" w:cs="Arial"/>
          <w:b/>
          <w:bCs/>
          <w:color w:val="4A5E81"/>
          <w:sz w:val="24"/>
          <w:szCs w:val="24"/>
          <w:u w:val="single"/>
          <w:lang w:eastAsia="fr-FR"/>
        </w:rPr>
      </w:pPr>
    </w:p>
    <w:p w:rsidR="00AC4733" w:rsidRDefault="00F37B23" w:rsidP="00AC4733">
      <w:pPr>
        <w:shd w:val="clear" w:color="auto" w:fill="FFFFFF"/>
        <w:spacing w:after="0" w:line="240" w:lineRule="atLeast"/>
        <w:textAlignment w:val="top"/>
        <w:rPr>
          <w:rFonts w:ascii="Arial" w:eastAsia="Times New Roman" w:hAnsi="Arial" w:cs="Arial"/>
          <w:b/>
          <w:bCs/>
          <w:color w:val="000000"/>
          <w:sz w:val="24"/>
          <w:szCs w:val="24"/>
          <w:lang w:eastAsia="fr-FR"/>
        </w:rPr>
      </w:pPr>
      <w:r w:rsidRPr="00F37B23">
        <w:rPr>
          <w:rFonts w:ascii="Arial" w:eastAsia="Times New Roman" w:hAnsi="Arial" w:cs="Arial"/>
          <w:b/>
          <w:bCs/>
          <w:color w:val="4A5E81"/>
          <w:sz w:val="24"/>
          <w:szCs w:val="24"/>
          <w:u w:val="single"/>
          <w:lang w:eastAsia="fr-FR"/>
        </w:rPr>
        <w:t>Article 2405</w:t>
      </w:r>
      <w:r w:rsidR="00AC4733">
        <w:rPr>
          <w:rFonts w:ascii="Arial" w:eastAsia="Times New Roman" w:hAnsi="Arial" w:cs="Arial"/>
          <w:b/>
          <w:bCs/>
          <w:color w:val="4A5E81"/>
          <w:sz w:val="24"/>
          <w:szCs w:val="24"/>
          <w:u w:val="single"/>
          <w:lang w:eastAsia="fr-FR"/>
        </w:rPr>
        <w:t xml:space="preserve"> /</w:t>
      </w:r>
      <w:r w:rsidR="00860051">
        <w:rPr>
          <w:rFonts w:ascii="Arial" w:eastAsia="Times New Roman" w:hAnsi="Arial" w:cs="Arial"/>
          <w:b/>
          <w:bCs/>
          <w:color w:val="000000"/>
          <w:sz w:val="24"/>
          <w:szCs w:val="24"/>
          <w:lang w:eastAsia="fr-FR"/>
        </w:rPr>
        <w:t xml:space="preserve"> </w:t>
      </w:r>
    </w:p>
    <w:p w:rsidR="007B110C" w:rsidRDefault="007B110C" w:rsidP="00AC4733">
      <w:pPr>
        <w:shd w:val="clear" w:color="auto" w:fill="FFFFFF"/>
        <w:spacing w:after="0" w:line="240" w:lineRule="atLeast"/>
        <w:textAlignment w:val="top"/>
        <w:rPr>
          <w:rFonts w:ascii="Arial" w:eastAsia="Times New Roman" w:hAnsi="Arial" w:cs="Arial"/>
          <w:color w:val="000000"/>
          <w:sz w:val="24"/>
          <w:szCs w:val="24"/>
          <w:lang w:eastAsia="fr-FR"/>
        </w:rPr>
      </w:pPr>
    </w:p>
    <w:p w:rsidR="00F37B23" w:rsidRP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Par dérogation à l'article 2404, l'hypothèque peut également être conservée par la seule inscription du titre de recouvrement, à concurrence de sa valeur.</w:t>
      </w:r>
    </w:p>
    <w:p w:rsidR="00AC4733" w:rsidRDefault="00AC4733" w:rsidP="00AC4733">
      <w:pPr>
        <w:shd w:val="clear" w:color="auto" w:fill="FFFFFF"/>
        <w:spacing w:after="0" w:line="240" w:lineRule="atLeast"/>
        <w:textAlignment w:val="top"/>
        <w:rPr>
          <w:rFonts w:ascii="Arial" w:eastAsia="Times New Roman" w:hAnsi="Arial" w:cs="Arial"/>
          <w:b/>
          <w:bCs/>
          <w:color w:val="4A5E81"/>
          <w:sz w:val="24"/>
          <w:szCs w:val="24"/>
          <w:lang w:eastAsia="fr-FR"/>
        </w:rPr>
      </w:pPr>
    </w:p>
    <w:p w:rsidR="00F37B23" w:rsidRPr="00F37B23" w:rsidRDefault="00CD4420" w:rsidP="00AC4733">
      <w:pPr>
        <w:shd w:val="clear" w:color="auto" w:fill="FFFFFF"/>
        <w:spacing w:after="0" w:line="240" w:lineRule="atLeast"/>
        <w:textAlignment w:val="top"/>
        <w:rPr>
          <w:rFonts w:ascii="Arial" w:eastAsia="Times New Roman" w:hAnsi="Arial" w:cs="Arial"/>
          <w:b/>
          <w:bCs/>
          <w:color w:val="4A5E81"/>
          <w:sz w:val="24"/>
          <w:szCs w:val="24"/>
          <w:lang w:eastAsia="fr-FR"/>
        </w:rPr>
      </w:pPr>
      <w:hyperlink r:id="rId15" w:history="1">
        <w:r w:rsidR="00F37B23" w:rsidRPr="00F37B23">
          <w:rPr>
            <w:rFonts w:ascii="Arial" w:eastAsia="Times New Roman" w:hAnsi="Arial" w:cs="Arial"/>
            <w:b/>
            <w:bCs/>
            <w:color w:val="4A5E81"/>
            <w:sz w:val="24"/>
            <w:szCs w:val="24"/>
            <w:u w:val="single"/>
            <w:lang w:eastAsia="fr-FR"/>
          </w:rPr>
          <w:t>Article 2406</w:t>
        </w:r>
      </w:hyperlink>
      <w:r w:rsidR="00F37B23">
        <w:rPr>
          <w:rFonts w:ascii="Arial" w:eastAsia="Times New Roman" w:hAnsi="Arial" w:cs="Arial"/>
          <w:b/>
          <w:bCs/>
          <w:color w:val="4A5E81"/>
          <w:sz w:val="24"/>
          <w:szCs w:val="24"/>
          <w:lang w:eastAsia="fr-FR"/>
        </w:rPr>
        <w:t xml:space="preserve"> </w:t>
      </w:r>
      <w:hyperlink r:id="rId16" w:history="1">
        <w:r w:rsidR="00F37B23" w:rsidRPr="00F37B23">
          <w:rPr>
            <w:rFonts w:ascii="Arial" w:eastAsia="Times New Roman" w:hAnsi="Arial" w:cs="Arial"/>
            <w:b/>
            <w:bCs/>
            <w:color w:val="4A5E81"/>
            <w:sz w:val="24"/>
            <w:szCs w:val="24"/>
            <w:u w:val="single"/>
            <w:lang w:eastAsia="fr-FR"/>
          </w:rPr>
          <w:t xml:space="preserve">Modifié par Ordonnance n°2021-1192 du 15 septembre 2021 </w:t>
        </w:r>
        <w:r w:rsidR="00F37B23" w:rsidRPr="00F37B23">
          <w:rPr>
            <w:rFonts w:ascii="Arial" w:eastAsia="Times New Roman" w:hAnsi="Arial" w:cs="Arial"/>
            <w:b/>
            <w:bCs/>
            <w:color w:val="4A5E81"/>
            <w:sz w:val="24"/>
            <w:szCs w:val="24"/>
            <w:u w:val="single"/>
            <w:lang w:eastAsia="fr-FR"/>
          </w:rPr>
          <w:br/>
        </w:r>
      </w:hyperlink>
    </w:p>
    <w:p w:rsidR="00F37B23" w:rsidRPr="00F37B23" w:rsidRDefault="00F37B23" w:rsidP="00AC4733">
      <w:pPr>
        <w:shd w:val="clear" w:color="auto" w:fill="FFFFFF"/>
        <w:spacing w:after="0" w:line="240"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Les frais d'inscription sont à la charge des débiteurs.</w:t>
      </w:r>
    </w:p>
    <w:p w:rsidR="00860051" w:rsidRDefault="00860051" w:rsidP="00AC4733">
      <w:pPr>
        <w:shd w:val="clear" w:color="auto" w:fill="FFFFFF"/>
        <w:spacing w:after="0" w:line="240" w:lineRule="atLeast"/>
        <w:textAlignment w:val="top"/>
        <w:rPr>
          <w:rFonts w:ascii="Arial" w:eastAsia="Times New Roman" w:hAnsi="Arial" w:cs="Arial"/>
          <w:b/>
          <w:bCs/>
          <w:color w:val="4A5E81"/>
          <w:sz w:val="24"/>
          <w:szCs w:val="24"/>
          <w:lang w:eastAsia="fr-FR"/>
        </w:rPr>
      </w:pPr>
    </w:p>
    <w:p w:rsidR="00AC4733" w:rsidRDefault="00CD4420" w:rsidP="00AC4733">
      <w:pPr>
        <w:shd w:val="clear" w:color="auto" w:fill="FFFFFF"/>
        <w:spacing w:after="0" w:line="240" w:lineRule="atLeast"/>
        <w:textAlignment w:val="top"/>
        <w:rPr>
          <w:rFonts w:ascii="Arial" w:eastAsia="Times New Roman" w:hAnsi="Arial" w:cs="Arial"/>
          <w:b/>
          <w:bCs/>
          <w:color w:val="4A5E81"/>
          <w:sz w:val="24"/>
          <w:szCs w:val="24"/>
          <w:lang w:eastAsia="fr-FR"/>
        </w:rPr>
      </w:pPr>
      <w:hyperlink r:id="rId17" w:history="1">
        <w:r w:rsidR="00F37B23" w:rsidRPr="00F37B23">
          <w:rPr>
            <w:rFonts w:ascii="Arial" w:eastAsia="Times New Roman" w:hAnsi="Arial" w:cs="Arial"/>
            <w:b/>
            <w:bCs/>
            <w:color w:val="4A5E81"/>
            <w:sz w:val="24"/>
            <w:szCs w:val="24"/>
            <w:u w:val="single"/>
            <w:lang w:eastAsia="fr-FR"/>
          </w:rPr>
          <w:t>Article 2407</w:t>
        </w:r>
      </w:hyperlink>
      <w:r w:rsidR="00AC4733">
        <w:rPr>
          <w:rFonts w:ascii="Arial" w:eastAsia="Times New Roman" w:hAnsi="Arial" w:cs="Arial"/>
          <w:b/>
          <w:bCs/>
          <w:color w:val="4A5E81"/>
          <w:sz w:val="24"/>
          <w:szCs w:val="24"/>
          <w:lang w:eastAsia="fr-FR"/>
        </w:rPr>
        <w:t xml:space="preserve"> / </w:t>
      </w:r>
    </w:p>
    <w:p w:rsidR="007B110C" w:rsidRDefault="007B110C" w:rsidP="00AC4733">
      <w:pPr>
        <w:shd w:val="clear" w:color="auto" w:fill="FFFFFF"/>
        <w:spacing w:after="0" w:line="240" w:lineRule="atLeast"/>
        <w:textAlignment w:val="top"/>
        <w:rPr>
          <w:rFonts w:ascii="Arial" w:eastAsia="Times New Roman" w:hAnsi="Arial" w:cs="Arial"/>
          <w:b/>
          <w:bCs/>
          <w:color w:val="000000"/>
          <w:sz w:val="24"/>
          <w:szCs w:val="24"/>
          <w:lang w:eastAsia="fr-FR"/>
        </w:rPr>
      </w:pPr>
    </w:p>
    <w:p w:rsidR="00F37B23" w:rsidRPr="00F37B23" w:rsidRDefault="00AC4733" w:rsidP="00F37B23">
      <w:pPr>
        <w:shd w:val="clear" w:color="auto" w:fill="FFFFFF"/>
        <w:spacing w:after="240" w:line="288" w:lineRule="atLeast"/>
        <w:textAlignment w:val="top"/>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Lo</w:t>
      </w:r>
      <w:r w:rsidRPr="00F37B23">
        <w:rPr>
          <w:rFonts w:ascii="Arial" w:eastAsia="Times New Roman" w:hAnsi="Arial" w:cs="Arial"/>
          <w:color w:val="000000"/>
          <w:sz w:val="24"/>
          <w:szCs w:val="24"/>
          <w:lang w:eastAsia="fr-FR"/>
        </w:rPr>
        <w:t>rsque</w:t>
      </w:r>
      <w:r w:rsidR="00F37B23" w:rsidRPr="00F37B23">
        <w:rPr>
          <w:rFonts w:ascii="Arial" w:eastAsia="Times New Roman" w:hAnsi="Arial" w:cs="Arial"/>
          <w:color w:val="000000"/>
          <w:sz w:val="24"/>
          <w:szCs w:val="24"/>
          <w:lang w:eastAsia="fr-FR"/>
        </w:rPr>
        <w:t xml:space="preserve"> les mesures prescrites par l'arrêté ou la mise en demeure mentionnés au 1° de l'article 2404 ont été exécutées par le propriétaire ou l'exploitant, la publication à leurs frais d'un arrêté de mainlevée avant l'inscription du titre de recouvrement prévue au 2° du même article emporte caducité de la première inscription. Mention est faite de la radiation résultant de cette caducité en marge de l'inscription, aux frais du propriétaire ou de l'exploitant.</w:t>
      </w:r>
    </w:p>
    <w:p w:rsidR="00F37B23" w:rsidRDefault="00F37B23" w:rsidP="00F37B23">
      <w:pPr>
        <w:pBdr>
          <w:bottom w:val="dotted" w:sz="24" w:space="1" w:color="auto"/>
        </w:pBdr>
        <w:shd w:val="clear" w:color="auto" w:fill="FFFFFF"/>
        <w:spacing w:after="240" w:line="288" w:lineRule="atLeast"/>
        <w:textAlignment w:val="top"/>
        <w:rPr>
          <w:rFonts w:ascii="Arial" w:eastAsia="Times New Roman" w:hAnsi="Arial" w:cs="Arial"/>
          <w:color w:val="000000"/>
          <w:sz w:val="24"/>
          <w:szCs w:val="24"/>
          <w:lang w:eastAsia="fr-FR"/>
        </w:rPr>
      </w:pPr>
      <w:r w:rsidRPr="00F37B23">
        <w:rPr>
          <w:rFonts w:ascii="Arial" w:eastAsia="Times New Roman" w:hAnsi="Arial" w:cs="Arial"/>
          <w:color w:val="000000"/>
          <w:sz w:val="24"/>
          <w:szCs w:val="24"/>
          <w:lang w:eastAsia="fr-FR"/>
        </w:rPr>
        <w:t>La radiation de la seconde inscription ne peut intervenir que conformément aux dispositions des articles 2436 et suivants.</w:t>
      </w:r>
    </w:p>
    <w:p w:rsidR="00EA4B50" w:rsidRPr="007B110C" w:rsidRDefault="00CD4420" w:rsidP="00EA4B50">
      <w:pPr>
        <w:pStyle w:val="name-article"/>
        <w:shd w:val="clear" w:color="auto" w:fill="FFFFFF"/>
        <w:spacing w:before="0" w:beforeAutospacing="0" w:after="240" w:afterAutospacing="0"/>
        <w:rPr>
          <w:rFonts w:ascii="Arial" w:hAnsi="Arial" w:cs="Arial"/>
          <w:b/>
          <w:bCs/>
          <w:color w:val="4A5E81"/>
        </w:rPr>
      </w:pPr>
      <w:hyperlink r:id="rId18" w:history="1">
        <w:r w:rsidR="00EA4B50" w:rsidRPr="007B110C">
          <w:rPr>
            <w:rStyle w:val="Lienhypertexte"/>
            <w:rFonts w:ascii="Arial" w:hAnsi="Arial" w:cs="Arial"/>
            <w:b/>
            <w:bCs/>
            <w:color w:val="4A5E81"/>
          </w:rPr>
          <w:t>Article 2418</w:t>
        </w:r>
      </w:hyperlink>
    </w:p>
    <w:p w:rsidR="00EA4B50" w:rsidRPr="007B110C" w:rsidRDefault="00EA4B50" w:rsidP="00EA4B50">
      <w:pPr>
        <w:pStyle w:val="NormalWeb"/>
        <w:shd w:val="clear" w:color="auto" w:fill="FFFFFF"/>
        <w:spacing w:before="0" w:beforeAutospacing="0" w:after="240" w:afterAutospacing="0"/>
        <w:rPr>
          <w:rFonts w:ascii="Arial" w:hAnsi="Arial" w:cs="Arial"/>
          <w:color w:val="000000"/>
        </w:rPr>
      </w:pPr>
      <w:r w:rsidRPr="007B110C">
        <w:rPr>
          <w:rFonts w:ascii="Arial" w:hAnsi="Arial" w:cs="Arial"/>
          <w:color w:val="000000"/>
        </w:rPr>
        <w:t>Les hypothèques légales, judiciaires et conventionnelles n'ont rang que du jour de leur inscription prise au fichier immobilier, dans la forme et de la manière prescrites par la loi.</w:t>
      </w:r>
      <w:r w:rsidRPr="007B110C">
        <w:rPr>
          <w:rFonts w:ascii="Arial" w:hAnsi="Arial" w:cs="Arial"/>
          <w:color w:val="000000"/>
        </w:rPr>
        <w:br/>
      </w:r>
      <w:r w:rsidRPr="007B110C">
        <w:rPr>
          <w:rFonts w:ascii="Arial" w:hAnsi="Arial" w:cs="Arial"/>
          <w:color w:val="000000"/>
        </w:rPr>
        <w:br/>
        <w:t>Par exception, l'hypothèque prévue au 3° de l'article 2402 est dispensée d'inscription. Elle prime toutes les autres hypothèques pour l'année courante et pour les deux dernières années échues. Elle vient en concours avec l'hypothèque du vendeur et du prêteur de deniers pour les années antérieures.</w:t>
      </w:r>
      <w:r w:rsidRPr="007B110C">
        <w:rPr>
          <w:rFonts w:ascii="Arial" w:hAnsi="Arial" w:cs="Arial"/>
          <w:color w:val="000000"/>
        </w:rPr>
        <w:br/>
      </w:r>
      <w:r w:rsidRPr="007B110C">
        <w:rPr>
          <w:rFonts w:ascii="Arial" w:hAnsi="Arial" w:cs="Arial"/>
          <w:color w:val="000000"/>
        </w:rPr>
        <w:br/>
        <w:t>Lorsque plusieurs inscriptions sont prises le même jour relativement au même immeuble, leur rang respectif est déterminé comme suit, quel que soit l'ordre qui résulte du registre prévu à l'article 2447 :</w:t>
      </w:r>
    </w:p>
    <w:p w:rsidR="00EA4B50" w:rsidRPr="007B110C" w:rsidRDefault="00EA4B50" w:rsidP="00EA4B50">
      <w:pPr>
        <w:pStyle w:val="NormalWeb"/>
        <w:shd w:val="clear" w:color="auto" w:fill="FFFFFF"/>
        <w:spacing w:before="0" w:beforeAutospacing="0" w:after="240" w:afterAutospacing="0"/>
        <w:rPr>
          <w:rFonts w:ascii="Arial" w:hAnsi="Arial" w:cs="Arial"/>
          <w:color w:val="000000"/>
        </w:rPr>
      </w:pPr>
      <w:r w:rsidRPr="007B110C">
        <w:rPr>
          <w:rFonts w:ascii="Arial" w:hAnsi="Arial" w:cs="Arial"/>
          <w:color w:val="000000"/>
        </w:rPr>
        <w:t>-l'inscription d'une hypothèque légale est réputée d'un rang antérieur à celui de l'inscription d'une hypothèque judiciaire ou conventionnelle ; et s'il y a plusieurs inscriptions d'hypothèques légales, elles viennent en concurrence, sauf s'il s'agit de l'hypothèque spéciale du vendeur et de l'hypothèque spéciale du prêteur de deniers, la première étant réputée antérieure à la seconde ;</w:t>
      </w:r>
      <w:r w:rsidRPr="007B110C">
        <w:rPr>
          <w:rFonts w:ascii="Arial" w:hAnsi="Arial" w:cs="Arial"/>
          <w:color w:val="000000"/>
        </w:rPr>
        <w:br/>
      </w:r>
      <w:r w:rsidRPr="007B110C">
        <w:rPr>
          <w:rFonts w:ascii="Arial" w:hAnsi="Arial" w:cs="Arial"/>
          <w:color w:val="000000"/>
        </w:rPr>
        <w:br/>
        <w:t>-en présence de plusieurs inscriptions d'hypothèques conventionnelles ou judiciaires, celle qui est prise en vertu du titre portant la date la plus ancienne est réputée d'un rang antérieur ; et si les titres ont la même date, elles viennent en concurrence.</w:t>
      </w:r>
    </w:p>
    <w:p w:rsidR="00EA4B50" w:rsidRPr="007B110C" w:rsidRDefault="00EA4B50" w:rsidP="00F37B23">
      <w:pPr>
        <w:shd w:val="clear" w:color="auto" w:fill="FFFFFF"/>
        <w:spacing w:after="240" w:line="288" w:lineRule="atLeast"/>
        <w:textAlignment w:val="top"/>
        <w:rPr>
          <w:rFonts w:ascii="Arial" w:eastAsia="Times New Roman" w:hAnsi="Arial" w:cs="Arial"/>
          <w:color w:val="000000"/>
          <w:sz w:val="24"/>
          <w:szCs w:val="24"/>
          <w:lang w:eastAsia="fr-FR"/>
        </w:rPr>
      </w:pPr>
    </w:p>
    <w:sectPr w:rsidR="00EA4B50" w:rsidRPr="007B110C" w:rsidSect="00CD44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FA1"/>
    <w:multiLevelType w:val="multilevel"/>
    <w:tmpl w:val="A79C75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A7E3388"/>
    <w:multiLevelType w:val="multilevel"/>
    <w:tmpl w:val="65D070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19BD2394"/>
    <w:multiLevelType w:val="multilevel"/>
    <w:tmpl w:val="2CBA5A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1C5D45EC"/>
    <w:multiLevelType w:val="multilevel"/>
    <w:tmpl w:val="81340C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20BD3C20"/>
    <w:multiLevelType w:val="multilevel"/>
    <w:tmpl w:val="C8F289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259D1E78"/>
    <w:multiLevelType w:val="multilevel"/>
    <w:tmpl w:val="33AEEC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32F06764"/>
    <w:multiLevelType w:val="multilevel"/>
    <w:tmpl w:val="7C08D3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0CE6B9D"/>
    <w:multiLevelType w:val="multilevel"/>
    <w:tmpl w:val="67B2B0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4C627E25"/>
    <w:multiLevelType w:val="multilevel"/>
    <w:tmpl w:val="5672EB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6EE04B2A"/>
    <w:multiLevelType w:val="multilevel"/>
    <w:tmpl w:val="AB7A12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7B775610"/>
    <w:multiLevelType w:val="multilevel"/>
    <w:tmpl w:val="E87C8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8"/>
  </w:num>
  <w:num w:numId="8">
    <w:abstractNumId w:val="9"/>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7B23"/>
    <w:rsid w:val="007B110C"/>
    <w:rsid w:val="00860051"/>
    <w:rsid w:val="00AC4733"/>
    <w:rsid w:val="00CD4420"/>
    <w:rsid w:val="00EA4B50"/>
    <w:rsid w:val="00F37B23"/>
    <w:rsid w:val="00F653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EA4B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A4B50"/>
    <w:rPr>
      <w:color w:val="0000FF"/>
      <w:u w:val="single"/>
    </w:rPr>
  </w:style>
  <w:style w:type="paragraph" w:customStyle="1" w:styleId="date">
    <w:name w:val="date"/>
    <w:basedOn w:val="Normal"/>
    <w:rsid w:val="00EA4B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A4B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37796185">
      <w:bodyDiv w:val="1"/>
      <w:marLeft w:val="0"/>
      <w:marRight w:val="0"/>
      <w:marTop w:val="0"/>
      <w:marBottom w:val="0"/>
      <w:divBdr>
        <w:top w:val="none" w:sz="0" w:space="0" w:color="auto"/>
        <w:left w:val="none" w:sz="0" w:space="0" w:color="auto"/>
        <w:bottom w:val="none" w:sz="0" w:space="0" w:color="auto"/>
        <w:right w:val="none" w:sz="0" w:space="0" w:color="auto"/>
      </w:divBdr>
      <w:divsChild>
        <w:div w:id="605845726">
          <w:marLeft w:val="0"/>
          <w:marRight w:val="0"/>
          <w:marTop w:val="0"/>
          <w:marBottom w:val="0"/>
          <w:divBdr>
            <w:top w:val="none" w:sz="0" w:space="0" w:color="auto"/>
            <w:left w:val="none" w:sz="0" w:space="0" w:color="auto"/>
            <w:bottom w:val="none" w:sz="0" w:space="0" w:color="auto"/>
            <w:right w:val="none" w:sz="0" w:space="0" w:color="auto"/>
          </w:divBdr>
          <w:divsChild>
            <w:div w:id="969359439">
              <w:marLeft w:val="0"/>
              <w:marRight w:val="0"/>
              <w:marTop w:val="0"/>
              <w:marBottom w:val="0"/>
              <w:divBdr>
                <w:top w:val="none" w:sz="0" w:space="0" w:color="auto"/>
                <w:left w:val="none" w:sz="0" w:space="0" w:color="auto"/>
                <w:bottom w:val="none" w:sz="0" w:space="0" w:color="auto"/>
                <w:right w:val="none" w:sz="0" w:space="0" w:color="auto"/>
              </w:divBdr>
              <w:divsChild>
                <w:div w:id="1489445510">
                  <w:marLeft w:val="0"/>
                  <w:marRight w:val="0"/>
                  <w:marTop w:val="0"/>
                  <w:marBottom w:val="0"/>
                  <w:divBdr>
                    <w:top w:val="none" w:sz="0" w:space="0" w:color="auto"/>
                    <w:left w:val="none" w:sz="0" w:space="0" w:color="auto"/>
                    <w:bottom w:val="none" w:sz="0" w:space="0" w:color="auto"/>
                    <w:right w:val="none" w:sz="0" w:space="0" w:color="auto"/>
                  </w:divBdr>
                  <w:divsChild>
                    <w:div w:id="1768305506">
                      <w:marLeft w:val="0"/>
                      <w:marRight w:val="0"/>
                      <w:marTop w:val="0"/>
                      <w:marBottom w:val="0"/>
                      <w:divBdr>
                        <w:top w:val="none" w:sz="0" w:space="0" w:color="auto"/>
                        <w:left w:val="none" w:sz="0" w:space="0" w:color="auto"/>
                        <w:bottom w:val="none" w:sz="0" w:space="0" w:color="auto"/>
                        <w:right w:val="none" w:sz="0" w:space="0" w:color="auto"/>
                      </w:divBdr>
                    </w:div>
                  </w:divsChild>
                </w:div>
                <w:div w:id="1344043997">
                  <w:marLeft w:val="0"/>
                  <w:marRight w:val="0"/>
                  <w:marTop w:val="0"/>
                  <w:marBottom w:val="0"/>
                  <w:divBdr>
                    <w:top w:val="none" w:sz="0" w:space="0" w:color="auto"/>
                    <w:left w:val="none" w:sz="0" w:space="0" w:color="auto"/>
                    <w:bottom w:val="none" w:sz="0" w:space="0" w:color="auto"/>
                    <w:right w:val="none" w:sz="0" w:space="0" w:color="auto"/>
                  </w:divBdr>
                  <w:divsChild>
                    <w:div w:id="920916595">
                      <w:marLeft w:val="0"/>
                      <w:marRight w:val="0"/>
                      <w:marTop w:val="0"/>
                      <w:marBottom w:val="0"/>
                      <w:divBdr>
                        <w:top w:val="none" w:sz="0" w:space="0" w:color="auto"/>
                        <w:left w:val="none" w:sz="0" w:space="0" w:color="auto"/>
                        <w:bottom w:val="none" w:sz="0" w:space="0" w:color="auto"/>
                        <w:right w:val="none" w:sz="0" w:space="0" w:color="auto"/>
                      </w:divBdr>
                      <w:divsChild>
                        <w:div w:id="935746147">
                          <w:marLeft w:val="0"/>
                          <w:marRight w:val="0"/>
                          <w:marTop w:val="0"/>
                          <w:marBottom w:val="0"/>
                          <w:divBdr>
                            <w:top w:val="none" w:sz="0" w:space="0" w:color="auto"/>
                            <w:left w:val="none" w:sz="0" w:space="0" w:color="auto"/>
                            <w:bottom w:val="none" w:sz="0" w:space="0" w:color="auto"/>
                            <w:right w:val="none" w:sz="0" w:space="0" w:color="auto"/>
                          </w:divBdr>
                          <w:divsChild>
                            <w:div w:id="1751922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663">
                  <w:marLeft w:val="0"/>
                  <w:marRight w:val="0"/>
                  <w:marTop w:val="945"/>
                  <w:marBottom w:val="0"/>
                  <w:divBdr>
                    <w:top w:val="none" w:sz="0" w:space="0" w:color="auto"/>
                    <w:left w:val="none" w:sz="0" w:space="0" w:color="auto"/>
                    <w:bottom w:val="none" w:sz="0" w:space="0" w:color="auto"/>
                    <w:right w:val="none" w:sz="0" w:space="0" w:color="auto"/>
                  </w:divBdr>
                  <w:divsChild>
                    <w:div w:id="1527330747">
                      <w:marLeft w:val="0"/>
                      <w:marRight w:val="0"/>
                      <w:marTop w:val="0"/>
                      <w:marBottom w:val="0"/>
                      <w:divBdr>
                        <w:top w:val="none" w:sz="0" w:space="0" w:color="auto"/>
                        <w:left w:val="none" w:sz="0" w:space="0" w:color="auto"/>
                        <w:bottom w:val="none" w:sz="0" w:space="0" w:color="auto"/>
                        <w:right w:val="none" w:sz="0" w:space="0" w:color="auto"/>
                      </w:divBdr>
                      <w:divsChild>
                        <w:div w:id="1764182401">
                          <w:marLeft w:val="0"/>
                          <w:marRight w:val="0"/>
                          <w:marTop w:val="0"/>
                          <w:marBottom w:val="0"/>
                          <w:divBdr>
                            <w:top w:val="none" w:sz="0" w:space="0" w:color="auto"/>
                            <w:left w:val="none" w:sz="0" w:space="0" w:color="auto"/>
                            <w:bottom w:val="none" w:sz="0" w:space="0" w:color="auto"/>
                            <w:right w:val="none" w:sz="0" w:space="0" w:color="auto"/>
                          </w:divBdr>
                        </w:div>
                        <w:div w:id="1368065934">
                          <w:marLeft w:val="0"/>
                          <w:marRight w:val="0"/>
                          <w:marTop w:val="0"/>
                          <w:marBottom w:val="0"/>
                          <w:divBdr>
                            <w:top w:val="none" w:sz="0" w:space="0" w:color="auto"/>
                            <w:left w:val="none" w:sz="0" w:space="0" w:color="auto"/>
                            <w:bottom w:val="none" w:sz="0" w:space="0" w:color="auto"/>
                            <w:right w:val="none" w:sz="0" w:space="0" w:color="auto"/>
                          </w:divBdr>
                          <w:divsChild>
                            <w:div w:id="2012756484">
                              <w:marLeft w:val="0"/>
                              <w:marRight w:val="0"/>
                              <w:marTop w:val="0"/>
                              <w:marBottom w:val="0"/>
                              <w:divBdr>
                                <w:top w:val="none" w:sz="0" w:space="0" w:color="auto"/>
                                <w:left w:val="none" w:sz="0" w:space="0" w:color="auto"/>
                                <w:bottom w:val="none" w:sz="0" w:space="0" w:color="auto"/>
                                <w:right w:val="none" w:sz="0" w:space="0" w:color="auto"/>
                              </w:divBdr>
                              <w:divsChild>
                                <w:div w:id="1822498961">
                                  <w:marLeft w:val="0"/>
                                  <w:marRight w:val="0"/>
                                  <w:marTop w:val="0"/>
                                  <w:marBottom w:val="0"/>
                                  <w:divBdr>
                                    <w:top w:val="none" w:sz="0" w:space="0" w:color="auto"/>
                                    <w:left w:val="none" w:sz="0" w:space="0" w:color="auto"/>
                                    <w:bottom w:val="none" w:sz="0" w:space="0" w:color="auto"/>
                                    <w:right w:val="none" w:sz="0" w:space="0" w:color="auto"/>
                                  </w:divBdr>
                                  <w:divsChild>
                                    <w:div w:id="1859394224">
                                      <w:marLeft w:val="0"/>
                                      <w:marRight w:val="0"/>
                                      <w:marTop w:val="0"/>
                                      <w:marBottom w:val="0"/>
                                      <w:divBdr>
                                        <w:top w:val="none" w:sz="0" w:space="0" w:color="auto"/>
                                        <w:left w:val="none" w:sz="0" w:space="0" w:color="auto"/>
                                        <w:bottom w:val="none" w:sz="0" w:space="0" w:color="auto"/>
                                        <w:right w:val="none" w:sz="0" w:space="0" w:color="auto"/>
                                      </w:divBdr>
                                      <w:divsChild>
                                        <w:div w:id="575630360">
                                          <w:marLeft w:val="0"/>
                                          <w:marRight w:val="150"/>
                                          <w:marTop w:val="0"/>
                                          <w:marBottom w:val="0"/>
                                          <w:divBdr>
                                            <w:top w:val="none" w:sz="0" w:space="0" w:color="auto"/>
                                            <w:left w:val="none" w:sz="0" w:space="0" w:color="auto"/>
                                            <w:bottom w:val="none" w:sz="0" w:space="0" w:color="auto"/>
                                            <w:right w:val="none" w:sz="0" w:space="0" w:color="auto"/>
                                          </w:divBdr>
                                          <w:divsChild>
                                            <w:div w:id="539242073">
                                              <w:marLeft w:val="0"/>
                                              <w:marRight w:val="0"/>
                                              <w:marTop w:val="0"/>
                                              <w:marBottom w:val="0"/>
                                              <w:divBdr>
                                                <w:top w:val="none" w:sz="0" w:space="0" w:color="auto"/>
                                                <w:left w:val="none" w:sz="0" w:space="0" w:color="auto"/>
                                                <w:bottom w:val="none" w:sz="0" w:space="0" w:color="auto"/>
                                                <w:right w:val="none" w:sz="0" w:space="0" w:color="auto"/>
                                              </w:divBdr>
                                              <w:divsChild>
                                                <w:div w:id="2100445151">
                                                  <w:marLeft w:val="0"/>
                                                  <w:marRight w:val="300"/>
                                                  <w:marTop w:val="0"/>
                                                  <w:marBottom w:val="0"/>
                                                  <w:divBdr>
                                                    <w:top w:val="none" w:sz="0" w:space="0" w:color="auto"/>
                                                    <w:left w:val="none" w:sz="0" w:space="0" w:color="auto"/>
                                                    <w:bottom w:val="none" w:sz="0" w:space="0" w:color="auto"/>
                                                    <w:right w:val="none" w:sz="0" w:space="0" w:color="auto"/>
                                                  </w:divBdr>
                                                </w:div>
                                                <w:div w:id="1507671005">
                                                  <w:marLeft w:val="0"/>
                                                  <w:marRight w:val="0"/>
                                                  <w:marTop w:val="0"/>
                                                  <w:marBottom w:val="0"/>
                                                  <w:divBdr>
                                                    <w:top w:val="none" w:sz="0" w:space="0" w:color="auto"/>
                                                    <w:left w:val="none" w:sz="0" w:space="0" w:color="auto"/>
                                                    <w:bottom w:val="none" w:sz="0" w:space="0" w:color="auto"/>
                                                    <w:right w:val="none" w:sz="0" w:space="0" w:color="auto"/>
                                                  </w:divBdr>
                                                </w:div>
                                                <w:div w:id="6203021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850622">
                  <w:marLeft w:val="0"/>
                  <w:marRight w:val="0"/>
                  <w:marTop w:val="0"/>
                  <w:marBottom w:val="0"/>
                  <w:divBdr>
                    <w:top w:val="none" w:sz="0" w:space="0" w:color="auto"/>
                    <w:left w:val="none" w:sz="0" w:space="0" w:color="auto"/>
                    <w:bottom w:val="none" w:sz="0" w:space="0" w:color="auto"/>
                    <w:right w:val="none" w:sz="0" w:space="0" w:color="auto"/>
                  </w:divBdr>
                  <w:divsChild>
                    <w:div w:id="400715044">
                      <w:marLeft w:val="0"/>
                      <w:marRight w:val="0"/>
                      <w:marTop w:val="0"/>
                      <w:marBottom w:val="0"/>
                      <w:divBdr>
                        <w:top w:val="none" w:sz="0" w:space="0" w:color="auto"/>
                        <w:left w:val="none" w:sz="0" w:space="0" w:color="auto"/>
                        <w:bottom w:val="none" w:sz="0" w:space="0" w:color="auto"/>
                        <w:right w:val="none" w:sz="0" w:space="0" w:color="auto"/>
                      </w:divBdr>
                      <w:divsChild>
                        <w:div w:id="360010118">
                          <w:marLeft w:val="0"/>
                          <w:marRight w:val="0"/>
                          <w:marTop w:val="0"/>
                          <w:marBottom w:val="0"/>
                          <w:divBdr>
                            <w:top w:val="none" w:sz="0" w:space="0" w:color="auto"/>
                            <w:left w:val="none" w:sz="0" w:space="0" w:color="auto"/>
                            <w:bottom w:val="none" w:sz="0" w:space="0" w:color="auto"/>
                            <w:right w:val="none" w:sz="0" w:space="0" w:color="auto"/>
                          </w:divBdr>
                          <w:divsChild>
                            <w:div w:id="16077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114">
                      <w:marLeft w:val="0"/>
                      <w:marRight w:val="0"/>
                      <w:marTop w:val="0"/>
                      <w:marBottom w:val="0"/>
                      <w:divBdr>
                        <w:top w:val="none" w:sz="0" w:space="0" w:color="auto"/>
                        <w:left w:val="none" w:sz="0" w:space="0" w:color="auto"/>
                        <w:bottom w:val="none" w:sz="0" w:space="0" w:color="auto"/>
                        <w:right w:val="none" w:sz="0" w:space="0" w:color="auto"/>
                      </w:divBdr>
                      <w:divsChild>
                        <w:div w:id="1724133507">
                          <w:marLeft w:val="0"/>
                          <w:marRight w:val="0"/>
                          <w:marTop w:val="0"/>
                          <w:marBottom w:val="0"/>
                          <w:divBdr>
                            <w:top w:val="none" w:sz="0" w:space="0" w:color="auto"/>
                            <w:left w:val="none" w:sz="0" w:space="0" w:color="auto"/>
                            <w:bottom w:val="none" w:sz="0" w:space="0" w:color="auto"/>
                            <w:right w:val="none" w:sz="0" w:space="0" w:color="auto"/>
                          </w:divBdr>
                          <w:divsChild>
                            <w:div w:id="837958900">
                              <w:marLeft w:val="0"/>
                              <w:marRight w:val="0"/>
                              <w:marTop w:val="0"/>
                              <w:marBottom w:val="0"/>
                              <w:divBdr>
                                <w:top w:val="none" w:sz="0" w:space="0" w:color="auto"/>
                                <w:left w:val="none" w:sz="0" w:space="0" w:color="auto"/>
                                <w:bottom w:val="none" w:sz="0" w:space="0" w:color="auto"/>
                                <w:right w:val="none" w:sz="0" w:space="0" w:color="auto"/>
                              </w:divBdr>
                              <w:divsChild>
                                <w:div w:id="871265874">
                                  <w:marLeft w:val="0"/>
                                  <w:marRight w:val="0"/>
                                  <w:marTop w:val="0"/>
                                  <w:marBottom w:val="75"/>
                                  <w:divBdr>
                                    <w:top w:val="none" w:sz="0" w:space="0" w:color="auto"/>
                                    <w:left w:val="none" w:sz="0" w:space="0" w:color="auto"/>
                                    <w:bottom w:val="none" w:sz="0" w:space="0" w:color="auto"/>
                                    <w:right w:val="none" w:sz="0" w:space="0" w:color="auto"/>
                                  </w:divBdr>
                                </w:div>
                                <w:div w:id="1154684013">
                                  <w:marLeft w:val="0"/>
                                  <w:marRight w:val="0"/>
                                  <w:marTop w:val="600"/>
                                  <w:marBottom w:val="0"/>
                                  <w:divBdr>
                                    <w:top w:val="none" w:sz="0" w:space="0" w:color="auto"/>
                                    <w:left w:val="none" w:sz="0" w:space="0" w:color="auto"/>
                                    <w:bottom w:val="none" w:sz="0" w:space="0" w:color="auto"/>
                                    <w:right w:val="none" w:sz="0" w:space="0" w:color="auto"/>
                                  </w:divBdr>
                                  <w:divsChild>
                                    <w:div w:id="15578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7313">
                              <w:marLeft w:val="0"/>
                              <w:marRight w:val="0"/>
                              <w:marTop w:val="240"/>
                              <w:marBottom w:val="0"/>
                              <w:divBdr>
                                <w:top w:val="none" w:sz="0" w:space="0" w:color="auto"/>
                                <w:left w:val="none" w:sz="0" w:space="0" w:color="auto"/>
                                <w:bottom w:val="none" w:sz="0" w:space="0" w:color="auto"/>
                                <w:right w:val="none" w:sz="0" w:space="0" w:color="auto"/>
                              </w:divBdr>
                              <w:divsChild>
                                <w:div w:id="1487549103">
                                  <w:marLeft w:val="0"/>
                                  <w:marRight w:val="0"/>
                                  <w:marTop w:val="0"/>
                                  <w:marBottom w:val="0"/>
                                  <w:divBdr>
                                    <w:top w:val="none" w:sz="0" w:space="0" w:color="auto"/>
                                    <w:left w:val="none" w:sz="0" w:space="0" w:color="auto"/>
                                    <w:bottom w:val="none" w:sz="0" w:space="0" w:color="auto"/>
                                    <w:right w:val="none" w:sz="0" w:space="0" w:color="auto"/>
                                  </w:divBdr>
                                  <w:divsChild>
                                    <w:div w:id="1802113334">
                                      <w:marLeft w:val="0"/>
                                      <w:marRight w:val="0"/>
                                      <w:marTop w:val="0"/>
                                      <w:marBottom w:val="0"/>
                                      <w:divBdr>
                                        <w:top w:val="none" w:sz="0" w:space="0" w:color="auto"/>
                                        <w:left w:val="none" w:sz="0" w:space="0" w:color="auto"/>
                                        <w:bottom w:val="none" w:sz="0" w:space="0" w:color="auto"/>
                                        <w:right w:val="none" w:sz="0" w:space="0" w:color="auto"/>
                                      </w:divBdr>
                                      <w:divsChild>
                                        <w:div w:id="93718645">
                                          <w:marLeft w:val="0"/>
                                          <w:marRight w:val="0"/>
                                          <w:marTop w:val="0"/>
                                          <w:marBottom w:val="117"/>
                                          <w:divBdr>
                                            <w:top w:val="none" w:sz="0" w:space="0" w:color="auto"/>
                                            <w:left w:val="none" w:sz="0" w:space="0" w:color="auto"/>
                                            <w:bottom w:val="none" w:sz="0" w:space="0" w:color="auto"/>
                                            <w:right w:val="none" w:sz="0" w:space="0" w:color="auto"/>
                                          </w:divBdr>
                                        </w:div>
                                        <w:div w:id="1043673521">
                                          <w:marLeft w:val="0"/>
                                          <w:marRight w:val="0"/>
                                          <w:marTop w:val="0"/>
                                          <w:marBottom w:val="0"/>
                                          <w:divBdr>
                                            <w:top w:val="none" w:sz="0" w:space="0" w:color="auto"/>
                                            <w:left w:val="none" w:sz="0" w:space="0" w:color="auto"/>
                                            <w:bottom w:val="none" w:sz="0" w:space="0" w:color="auto"/>
                                            <w:right w:val="none" w:sz="0" w:space="0" w:color="auto"/>
                                          </w:divBdr>
                                          <w:divsChild>
                                            <w:div w:id="1313409136">
                                              <w:marLeft w:val="0"/>
                                              <w:marRight w:val="0"/>
                                              <w:marTop w:val="0"/>
                                              <w:marBottom w:val="0"/>
                                              <w:divBdr>
                                                <w:top w:val="none" w:sz="0" w:space="0" w:color="auto"/>
                                                <w:left w:val="none" w:sz="0" w:space="0" w:color="auto"/>
                                                <w:bottom w:val="none" w:sz="0" w:space="0" w:color="auto"/>
                                                <w:right w:val="none" w:sz="0" w:space="0" w:color="auto"/>
                                              </w:divBdr>
                                              <w:divsChild>
                                                <w:div w:id="2081782626">
                                                  <w:marLeft w:val="0"/>
                                                  <w:marRight w:val="0"/>
                                                  <w:marTop w:val="0"/>
                                                  <w:marBottom w:val="0"/>
                                                  <w:divBdr>
                                                    <w:top w:val="none" w:sz="0" w:space="0" w:color="auto"/>
                                                    <w:left w:val="none" w:sz="0" w:space="0" w:color="auto"/>
                                                    <w:bottom w:val="none" w:sz="0" w:space="0" w:color="auto"/>
                                                    <w:right w:val="none" w:sz="0" w:space="0" w:color="auto"/>
                                                  </w:divBdr>
                                                </w:div>
                                                <w:div w:id="1326401853">
                                                  <w:marLeft w:val="0"/>
                                                  <w:marRight w:val="0"/>
                                                  <w:marTop w:val="0"/>
                                                  <w:marBottom w:val="0"/>
                                                  <w:divBdr>
                                                    <w:top w:val="none" w:sz="0" w:space="0" w:color="auto"/>
                                                    <w:left w:val="none" w:sz="0" w:space="0" w:color="auto"/>
                                                    <w:bottom w:val="none" w:sz="0" w:space="0" w:color="auto"/>
                                                    <w:right w:val="none" w:sz="0" w:space="0" w:color="auto"/>
                                                  </w:divBdr>
                                                  <w:divsChild>
                                                    <w:div w:id="4109338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737171">
                          <w:marLeft w:val="0"/>
                          <w:marRight w:val="0"/>
                          <w:marTop w:val="0"/>
                          <w:marBottom w:val="0"/>
                          <w:divBdr>
                            <w:top w:val="single" w:sz="6" w:space="11" w:color="DBDBDB"/>
                            <w:left w:val="none" w:sz="0" w:space="0" w:color="auto"/>
                            <w:bottom w:val="single" w:sz="6" w:space="11" w:color="DBDBDB"/>
                            <w:right w:val="none" w:sz="0" w:space="0" w:color="auto"/>
                          </w:divBdr>
                        </w:div>
                        <w:div w:id="1836262619">
                          <w:marLeft w:val="0"/>
                          <w:marRight w:val="0"/>
                          <w:marTop w:val="0"/>
                          <w:marBottom w:val="0"/>
                          <w:divBdr>
                            <w:top w:val="none" w:sz="0" w:space="0" w:color="auto"/>
                            <w:left w:val="none" w:sz="0" w:space="0" w:color="auto"/>
                            <w:bottom w:val="none" w:sz="0" w:space="0" w:color="auto"/>
                            <w:right w:val="none" w:sz="0" w:space="0" w:color="auto"/>
                          </w:divBdr>
                          <w:divsChild>
                            <w:div w:id="1579710298">
                              <w:marLeft w:val="0"/>
                              <w:marRight w:val="0"/>
                              <w:marTop w:val="0"/>
                              <w:marBottom w:val="0"/>
                              <w:divBdr>
                                <w:top w:val="none" w:sz="0" w:space="0" w:color="auto"/>
                                <w:left w:val="none" w:sz="0" w:space="0" w:color="auto"/>
                                <w:bottom w:val="none" w:sz="0" w:space="0" w:color="auto"/>
                                <w:right w:val="none" w:sz="0" w:space="0" w:color="auto"/>
                              </w:divBdr>
                              <w:divsChild>
                                <w:div w:id="1075779858">
                                  <w:marLeft w:val="0"/>
                                  <w:marRight w:val="0"/>
                                  <w:marTop w:val="0"/>
                                  <w:marBottom w:val="0"/>
                                  <w:divBdr>
                                    <w:top w:val="none" w:sz="0" w:space="0" w:color="auto"/>
                                    <w:left w:val="none" w:sz="0" w:space="0" w:color="auto"/>
                                    <w:bottom w:val="none" w:sz="0" w:space="0" w:color="auto"/>
                                    <w:right w:val="none" w:sz="0" w:space="0" w:color="auto"/>
                                  </w:divBdr>
                                  <w:divsChild>
                                    <w:div w:id="162860077">
                                      <w:marLeft w:val="0"/>
                                      <w:marRight w:val="0"/>
                                      <w:marTop w:val="0"/>
                                      <w:marBottom w:val="120"/>
                                      <w:divBdr>
                                        <w:top w:val="none" w:sz="0" w:space="0" w:color="auto"/>
                                        <w:left w:val="none" w:sz="0" w:space="0" w:color="auto"/>
                                        <w:bottom w:val="none" w:sz="0" w:space="0" w:color="auto"/>
                                        <w:right w:val="none" w:sz="0" w:space="0" w:color="auto"/>
                                      </w:divBdr>
                                    </w:div>
                                    <w:div w:id="250624232">
                                      <w:marLeft w:val="0"/>
                                      <w:marRight w:val="0"/>
                                      <w:marTop w:val="0"/>
                                      <w:marBottom w:val="0"/>
                                      <w:divBdr>
                                        <w:top w:val="none" w:sz="0" w:space="0" w:color="auto"/>
                                        <w:left w:val="none" w:sz="0" w:space="0" w:color="auto"/>
                                        <w:bottom w:val="none" w:sz="0" w:space="0" w:color="auto"/>
                                        <w:right w:val="none" w:sz="0" w:space="0" w:color="auto"/>
                                      </w:divBdr>
                                      <w:divsChild>
                                        <w:div w:id="1538280310">
                                          <w:marLeft w:val="0"/>
                                          <w:marRight w:val="0"/>
                                          <w:marTop w:val="0"/>
                                          <w:marBottom w:val="0"/>
                                          <w:divBdr>
                                            <w:top w:val="none" w:sz="0" w:space="0" w:color="auto"/>
                                            <w:left w:val="none" w:sz="0" w:space="0" w:color="auto"/>
                                            <w:bottom w:val="none" w:sz="0" w:space="0" w:color="auto"/>
                                            <w:right w:val="none" w:sz="0" w:space="0" w:color="auto"/>
                                          </w:divBdr>
                                          <w:divsChild>
                                            <w:div w:id="420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8148">
                              <w:marLeft w:val="0"/>
                              <w:marRight w:val="0"/>
                              <w:marTop w:val="0"/>
                              <w:marBottom w:val="0"/>
                              <w:divBdr>
                                <w:top w:val="single" w:sz="6" w:space="11" w:color="DBDBDB"/>
                                <w:left w:val="none" w:sz="0" w:space="0" w:color="auto"/>
                                <w:bottom w:val="none" w:sz="0" w:space="0" w:color="auto"/>
                                <w:right w:val="none" w:sz="0" w:space="0" w:color="auto"/>
                              </w:divBdr>
                              <w:divsChild>
                                <w:div w:id="1393504854">
                                  <w:marLeft w:val="0"/>
                                  <w:marRight w:val="0"/>
                                  <w:marTop w:val="0"/>
                                  <w:marBottom w:val="0"/>
                                  <w:divBdr>
                                    <w:top w:val="none" w:sz="0" w:space="0" w:color="auto"/>
                                    <w:left w:val="none" w:sz="0" w:space="0" w:color="auto"/>
                                    <w:bottom w:val="none" w:sz="0" w:space="0" w:color="auto"/>
                                    <w:right w:val="none" w:sz="0" w:space="0" w:color="auto"/>
                                  </w:divBdr>
                                </w:div>
                                <w:div w:id="817266636">
                                  <w:marLeft w:val="0"/>
                                  <w:marRight w:val="0"/>
                                  <w:marTop w:val="0"/>
                                  <w:marBottom w:val="0"/>
                                  <w:divBdr>
                                    <w:top w:val="none" w:sz="0" w:space="0" w:color="auto"/>
                                    <w:left w:val="none" w:sz="0" w:space="0" w:color="auto"/>
                                    <w:bottom w:val="none" w:sz="0" w:space="0" w:color="auto"/>
                                    <w:right w:val="none" w:sz="0" w:space="0" w:color="auto"/>
                                  </w:divBdr>
                                </w:div>
                                <w:div w:id="1663393239">
                                  <w:marLeft w:val="0"/>
                                  <w:marRight w:val="0"/>
                                  <w:marTop w:val="0"/>
                                  <w:marBottom w:val="0"/>
                                  <w:divBdr>
                                    <w:top w:val="none" w:sz="0" w:space="0" w:color="auto"/>
                                    <w:left w:val="none" w:sz="0" w:space="0" w:color="auto"/>
                                    <w:bottom w:val="none" w:sz="0" w:space="0" w:color="auto"/>
                                    <w:right w:val="none" w:sz="0" w:space="0" w:color="auto"/>
                                  </w:divBdr>
                                </w:div>
                                <w:div w:id="878321746">
                                  <w:marLeft w:val="0"/>
                                  <w:marRight w:val="0"/>
                                  <w:marTop w:val="75"/>
                                  <w:marBottom w:val="0"/>
                                  <w:divBdr>
                                    <w:top w:val="none" w:sz="0" w:space="0" w:color="auto"/>
                                    <w:left w:val="none" w:sz="0" w:space="0" w:color="auto"/>
                                    <w:bottom w:val="none" w:sz="0" w:space="0" w:color="auto"/>
                                    <w:right w:val="none" w:sz="0" w:space="0" w:color="auto"/>
                                  </w:divBdr>
                                </w:div>
                              </w:divsChild>
                            </w:div>
                            <w:div w:id="780756864">
                              <w:marLeft w:val="0"/>
                              <w:marRight w:val="0"/>
                              <w:marTop w:val="0"/>
                              <w:marBottom w:val="0"/>
                              <w:divBdr>
                                <w:top w:val="single" w:sz="6" w:space="11" w:color="DBDBDB"/>
                                <w:left w:val="none" w:sz="0" w:space="0" w:color="auto"/>
                                <w:bottom w:val="none" w:sz="0" w:space="0" w:color="auto"/>
                                <w:right w:val="none" w:sz="0" w:space="0" w:color="auto"/>
                              </w:divBdr>
                              <w:divsChild>
                                <w:div w:id="2077320602">
                                  <w:marLeft w:val="0"/>
                                  <w:marRight w:val="0"/>
                                  <w:marTop w:val="0"/>
                                  <w:marBottom w:val="0"/>
                                  <w:divBdr>
                                    <w:top w:val="none" w:sz="0" w:space="0" w:color="auto"/>
                                    <w:left w:val="none" w:sz="0" w:space="0" w:color="auto"/>
                                    <w:bottom w:val="none" w:sz="0" w:space="0" w:color="auto"/>
                                    <w:right w:val="none" w:sz="0" w:space="0" w:color="auto"/>
                                  </w:divBdr>
                                </w:div>
                                <w:div w:id="1868986793">
                                  <w:marLeft w:val="0"/>
                                  <w:marRight w:val="0"/>
                                  <w:marTop w:val="0"/>
                                  <w:marBottom w:val="0"/>
                                  <w:divBdr>
                                    <w:top w:val="none" w:sz="0" w:space="0" w:color="auto"/>
                                    <w:left w:val="none" w:sz="0" w:space="0" w:color="auto"/>
                                    <w:bottom w:val="none" w:sz="0" w:space="0" w:color="auto"/>
                                    <w:right w:val="none" w:sz="0" w:space="0" w:color="auto"/>
                                  </w:divBdr>
                                </w:div>
                                <w:div w:id="2002345877">
                                  <w:marLeft w:val="0"/>
                                  <w:marRight w:val="0"/>
                                  <w:marTop w:val="0"/>
                                  <w:marBottom w:val="0"/>
                                  <w:divBdr>
                                    <w:top w:val="none" w:sz="0" w:space="0" w:color="auto"/>
                                    <w:left w:val="none" w:sz="0" w:space="0" w:color="auto"/>
                                    <w:bottom w:val="none" w:sz="0" w:space="0" w:color="auto"/>
                                    <w:right w:val="none" w:sz="0" w:space="0" w:color="auto"/>
                                  </w:divBdr>
                                </w:div>
                                <w:div w:id="2056577">
                                  <w:marLeft w:val="0"/>
                                  <w:marRight w:val="0"/>
                                  <w:marTop w:val="75"/>
                                  <w:marBottom w:val="0"/>
                                  <w:divBdr>
                                    <w:top w:val="none" w:sz="0" w:space="0" w:color="auto"/>
                                    <w:left w:val="none" w:sz="0" w:space="0" w:color="auto"/>
                                    <w:bottom w:val="none" w:sz="0" w:space="0" w:color="auto"/>
                                    <w:right w:val="none" w:sz="0" w:space="0" w:color="auto"/>
                                  </w:divBdr>
                                </w:div>
                              </w:divsChild>
                            </w:div>
                            <w:div w:id="1577671346">
                              <w:marLeft w:val="0"/>
                              <w:marRight w:val="0"/>
                              <w:marTop w:val="0"/>
                              <w:marBottom w:val="0"/>
                              <w:divBdr>
                                <w:top w:val="single" w:sz="6" w:space="11" w:color="DBDBDB"/>
                                <w:left w:val="none" w:sz="0" w:space="0" w:color="auto"/>
                                <w:bottom w:val="none" w:sz="0" w:space="0" w:color="auto"/>
                                <w:right w:val="none" w:sz="0" w:space="0" w:color="auto"/>
                              </w:divBdr>
                              <w:divsChild>
                                <w:div w:id="1184438426">
                                  <w:marLeft w:val="0"/>
                                  <w:marRight w:val="0"/>
                                  <w:marTop w:val="0"/>
                                  <w:marBottom w:val="0"/>
                                  <w:divBdr>
                                    <w:top w:val="none" w:sz="0" w:space="0" w:color="auto"/>
                                    <w:left w:val="none" w:sz="0" w:space="0" w:color="auto"/>
                                    <w:bottom w:val="none" w:sz="0" w:space="0" w:color="auto"/>
                                    <w:right w:val="none" w:sz="0" w:space="0" w:color="auto"/>
                                  </w:divBdr>
                                </w:div>
                                <w:div w:id="1397319449">
                                  <w:marLeft w:val="0"/>
                                  <w:marRight w:val="0"/>
                                  <w:marTop w:val="0"/>
                                  <w:marBottom w:val="0"/>
                                  <w:divBdr>
                                    <w:top w:val="none" w:sz="0" w:space="0" w:color="auto"/>
                                    <w:left w:val="none" w:sz="0" w:space="0" w:color="auto"/>
                                    <w:bottom w:val="none" w:sz="0" w:space="0" w:color="auto"/>
                                    <w:right w:val="none" w:sz="0" w:space="0" w:color="auto"/>
                                  </w:divBdr>
                                </w:div>
                                <w:div w:id="1077440342">
                                  <w:marLeft w:val="0"/>
                                  <w:marRight w:val="0"/>
                                  <w:marTop w:val="0"/>
                                  <w:marBottom w:val="0"/>
                                  <w:divBdr>
                                    <w:top w:val="none" w:sz="0" w:space="0" w:color="auto"/>
                                    <w:left w:val="none" w:sz="0" w:space="0" w:color="auto"/>
                                    <w:bottom w:val="none" w:sz="0" w:space="0" w:color="auto"/>
                                    <w:right w:val="none" w:sz="0" w:space="0" w:color="auto"/>
                                  </w:divBdr>
                                </w:div>
                                <w:div w:id="1851606393">
                                  <w:marLeft w:val="0"/>
                                  <w:marRight w:val="0"/>
                                  <w:marTop w:val="75"/>
                                  <w:marBottom w:val="0"/>
                                  <w:divBdr>
                                    <w:top w:val="none" w:sz="0" w:space="0" w:color="auto"/>
                                    <w:left w:val="none" w:sz="0" w:space="0" w:color="auto"/>
                                    <w:bottom w:val="none" w:sz="0" w:space="0" w:color="auto"/>
                                    <w:right w:val="none" w:sz="0" w:space="0" w:color="auto"/>
                                  </w:divBdr>
                                </w:div>
                              </w:divsChild>
                            </w:div>
                            <w:div w:id="353271004">
                              <w:marLeft w:val="0"/>
                              <w:marRight w:val="0"/>
                              <w:marTop w:val="0"/>
                              <w:marBottom w:val="0"/>
                              <w:divBdr>
                                <w:top w:val="single" w:sz="6" w:space="11" w:color="DBDBDB"/>
                                <w:left w:val="none" w:sz="0" w:space="0" w:color="auto"/>
                                <w:bottom w:val="none" w:sz="0" w:space="0" w:color="auto"/>
                                <w:right w:val="none" w:sz="0" w:space="0" w:color="auto"/>
                              </w:divBdr>
                              <w:divsChild>
                                <w:div w:id="350030665">
                                  <w:marLeft w:val="0"/>
                                  <w:marRight w:val="0"/>
                                  <w:marTop w:val="0"/>
                                  <w:marBottom w:val="0"/>
                                  <w:divBdr>
                                    <w:top w:val="none" w:sz="0" w:space="0" w:color="auto"/>
                                    <w:left w:val="none" w:sz="0" w:space="0" w:color="auto"/>
                                    <w:bottom w:val="none" w:sz="0" w:space="0" w:color="auto"/>
                                    <w:right w:val="none" w:sz="0" w:space="0" w:color="auto"/>
                                  </w:divBdr>
                                </w:div>
                                <w:div w:id="60103230">
                                  <w:marLeft w:val="0"/>
                                  <w:marRight w:val="0"/>
                                  <w:marTop w:val="0"/>
                                  <w:marBottom w:val="0"/>
                                  <w:divBdr>
                                    <w:top w:val="none" w:sz="0" w:space="0" w:color="auto"/>
                                    <w:left w:val="none" w:sz="0" w:space="0" w:color="auto"/>
                                    <w:bottom w:val="none" w:sz="0" w:space="0" w:color="auto"/>
                                    <w:right w:val="none" w:sz="0" w:space="0" w:color="auto"/>
                                  </w:divBdr>
                                </w:div>
                                <w:div w:id="1318534956">
                                  <w:marLeft w:val="0"/>
                                  <w:marRight w:val="0"/>
                                  <w:marTop w:val="0"/>
                                  <w:marBottom w:val="0"/>
                                  <w:divBdr>
                                    <w:top w:val="none" w:sz="0" w:space="0" w:color="auto"/>
                                    <w:left w:val="none" w:sz="0" w:space="0" w:color="auto"/>
                                    <w:bottom w:val="none" w:sz="0" w:space="0" w:color="auto"/>
                                    <w:right w:val="none" w:sz="0" w:space="0" w:color="auto"/>
                                  </w:divBdr>
                                </w:div>
                                <w:div w:id="604923341">
                                  <w:marLeft w:val="0"/>
                                  <w:marRight w:val="0"/>
                                  <w:marTop w:val="75"/>
                                  <w:marBottom w:val="0"/>
                                  <w:divBdr>
                                    <w:top w:val="none" w:sz="0" w:space="0" w:color="auto"/>
                                    <w:left w:val="none" w:sz="0" w:space="0" w:color="auto"/>
                                    <w:bottom w:val="none" w:sz="0" w:space="0" w:color="auto"/>
                                    <w:right w:val="none" w:sz="0" w:space="0" w:color="auto"/>
                                  </w:divBdr>
                                </w:div>
                              </w:divsChild>
                            </w:div>
                            <w:div w:id="1618027331">
                              <w:marLeft w:val="0"/>
                              <w:marRight w:val="0"/>
                              <w:marTop w:val="0"/>
                              <w:marBottom w:val="0"/>
                              <w:divBdr>
                                <w:top w:val="single" w:sz="6" w:space="11" w:color="DBDBDB"/>
                                <w:left w:val="none" w:sz="0" w:space="0" w:color="auto"/>
                                <w:bottom w:val="none" w:sz="0" w:space="0" w:color="auto"/>
                                <w:right w:val="none" w:sz="0" w:space="0" w:color="auto"/>
                              </w:divBdr>
                              <w:divsChild>
                                <w:div w:id="1107434470">
                                  <w:marLeft w:val="0"/>
                                  <w:marRight w:val="0"/>
                                  <w:marTop w:val="0"/>
                                  <w:marBottom w:val="0"/>
                                  <w:divBdr>
                                    <w:top w:val="none" w:sz="0" w:space="0" w:color="auto"/>
                                    <w:left w:val="none" w:sz="0" w:space="0" w:color="auto"/>
                                    <w:bottom w:val="none" w:sz="0" w:space="0" w:color="auto"/>
                                    <w:right w:val="none" w:sz="0" w:space="0" w:color="auto"/>
                                  </w:divBdr>
                                </w:div>
                                <w:div w:id="1506364828">
                                  <w:marLeft w:val="0"/>
                                  <w:marRight w:val="0"/>
                                  <w:marTop w:val="0"/>
                                  <w:marBottom w:val="0"/>
                                  <w:divBdr>
                                    <w:top w:val="none" w:sz="0" w:space="0" w:color="auto"/>
                                    <w:left w:val="none" w:sz="0" w:space="0" w:color="auto"/>
                                    <w:bottom w:val="none" w:sz="0" w:space="0" w:color="auto"/>
                                    <w:right w:val="none" w:sz="0" w:space="0" w:color="auto"/>
                                  </w:divBdr>
                                </w:div>
                                <w:div w:id="1711613397">
                                  <w:marLeft w:val="0"/>
                                  <w:marRight w:val="0"/>
                                  <w:marTop w:val="0"/>
                                  <w:marBottom w:val="0"/>
                                  <w:divBdr>
                                    <w:top w:val="none" w:sz="0" w:space="0" w:color="auto"/>
                                    <w:left w:val="none" w:sz="0" w:space="0" w:color="auto"/>
                                    <w:bottom w:val="none" w:sz="0" w:space="0" w:color="auto"/>
                                    <w:right w:val="none" w:sz="0" w:space="0" w:color="auto"/>
                                  </w:divBdr>
                                </w:div>
                                <w:div w:id="1772890117">
                                  <w:marLeft w:val="0"/>
                                  <w:marRight w:val="0"/>
                                  <w:marTop w:val="75"/>
                                  <w:marBottom w:val="0"/>
                                  <w:divBdr>
                                    <w:top w:val="none" w:sz="0" w:space="0" w:color="auto"/>
                                    <w:left w:val="none" w:sz="0" w:space="0" w:color="auto"/>
                                    <w:bottom w:val="none" w:sz="0" w:space="0" w:color="auto"/>
                                    <w:right w:val="none" w:sz="0" w:space="0" w:color="auto"/>
                                  </w:divBdr>
                                </w:div>
                              </w:divsChild>
                            </w:div>
                            <w:div w:id="592711000">
                              <w:marLeft w:val="0"/>
                              <w:marRight w:val="0"/>
                              <w:marTop w:val="0"/>
                              <w:marBottom w:val="0"/>
                              <w:divBdr>
                                <w:top w:val="single" w:sz="6" w:space="11" w:color="DBDBDB"/>
                                <w:left w:val="none" w:sz="0" w:space="0" w:color="auto"/>
                                <w:bottom w:val="none" w:sz="0" w:space="0" w:color="auto"/>
                                <w:right w:val="none" w:sz="0" w:space="0" w:color="auto"/>
                              </w:divBdr>
                              <w:divsChild>
                                <w:div w:id="1234269787">
                                  <w:marLeft w:val="0"/>
                                  <w:marRight w:val="0"/>
                                  <w:marTop w:val="0"/>
                                  <w:marBottom w:val="0"/>
                                  <w:divBdr>
                                    <w:top w:val="none" w:sz="0" w:space="0" w:color="auto"/>
                                    <w:left w:val="none" w:sz="0" w:space="0" w:color="auto"/>
                                    <w:bottom w:val="none" w:sz="0" w:space="0" w:color="auto"/>
                                    <w:right w:val="none" w:sz="0" w:space="0" w:color="auto"/>
                                  </w:divBdr>
                                </w:div>
                                <w:div w:id="675110480">
                                  <w:marLeft w:val="0"/>
                                  <w:marRight w:val="0"/>
                                  <w:marTop w:val="0"/>
                                  <w:marBottom w:val="0"/>
                                  <w:divBdr>
                                    <w:top w:val="none" w:sz="0" w:space="0" w:color="auto"/>
                                    <w:left w:val="none" w:sz="0" w:space="0" w:color="auto"/>
                                    <w:bottom w:val="none" w:sz="0" w:space="0" w:color="auto"/>
                                    <w:right w:val="none" w:sz="0" w:space="0" w:color="auto"/>
                                  </w:divBdr>
                                </w:div>
                                <w:div w:id="1353264663">
                                  <w:marLeft w:val="0"/>
                                  <w:marRight w:val="0"/>
                                  <w:marTop w:val="0"/>
                                  <w:marBottom w:val="0"/>
                                  <w:divBdr>
                                    <w:top w:val="none" w:sz="0" w:space="0" w:color="auto"/>
                                    <w:left w:val="none" w:sz="0" w:space="0" w:color="auto"/>
                                    <w:bottom w:val="none" w:sz="0" w:space="0" w:color="auto"/>
                                    <w:right w:val="none" w:sz="0" w:space="0" w:color="auto"/>
                                  </w:divBdr>
                                </w:div>
                                <w:div w:id="1174957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86298427">
                  <w:marLeft w:val="0"/>
                  <w:marRight w:val="0"/>
                  <w:marTop w:val="0"/>
                  <w:marBottom w:val="0"/>
                  <w:divBdr>
                    <w:top w:val="none" w:sz="0" w:space="0" w:color="auto"/>
                    <w:left w:val="none" w:sz="0" w:space="0" w:color="auto"/>
                    <w:bottom w:val="single" w:sz="12" w:space="0" w:color="DBDBDB"/>
                    <w:right w:val="none" w:sz="0" w:space="0" w:color="auto"/>
                  </w:divBdr>
                  <w:divsChild>
                    <w:div w:id="354232920">
                      <w:marLeft w:val="150"/>
                      <w:marRight w:val="150"/>
                      <w:marTop w:val="150"/>
                      <w:marBottom w:val="150"/>
                      <w:divBdr>
                        <w:top w:val="none" w:sz="0" w:space="0" w:color="auto"/>
                        <w:left w:val="none" w:sz="0" w:space="0" w:color="auto"/>
                        <w:bottom w:val="none" w:sz="0" w:space="0" w:color="auto"/>
                        <w:right w:val="none" w:sz="0" w:space="0" w:color="auto"/>
                      </w:divBdr>
                    </w:div>
                    <w:div w:id="889999644">
                      <w:marLeft w:val="0"/>
                      <w:marRight w:val="0"/>
                      <w:marTop w:val="0"/>
                      <w:marBottom w:val="0"/>
                      <w:divBdr>
                        <w:top w:val="none" w:sz="0" w:space="0" w:color="auto"/>
                        <w:left w:val="none" w:sz="0" w:space="0" w:color="auto"/>
                        <w:bottom w:val="none" w:sz="0" w:space="0" w:color="auto"/>
                        <w:right w:val="none" w:sz="0" w:space="0" w:color="auto"/>
                      </w:divBdr>
                      <w:divsChild>
                        <w:div w:id="1846553691">
                          <w:marLeft w:val="0"/>
                          <w:marRight w:val="0"/>
                          <w:marTop w:val="0"/>
                          <w:marBottom w:val="0"/>
                          <w:divBdr>
                            <w:top w:val="none" w:sz="0" w:space="0" w:color="auto"/>
                            <w:left w:val="none" w:sz="0" w:space="0" w:color="auto"/>
                            <w:bottom w:val="none" w:sz="0" w:space="0" w:color="auto"/>
                            <w:right w:val="none" w:sz="0" w:space="0" w:color="auto"/>
                          </w:divBdr>
                          <w:divsChild>
                            <w:div w:id="858079553">
                              <w:marLeft w:val="0"/>
                              <w:marRight w:val="0"/>
                              <w:marTop w:val="0"/>
                              <w:marBottom w:val="0"/>
                              <w:divBdr>
                                <w:top w:val="none" w:sz="0" w:space="0" w:color="auto"/>
                                <w:left w:val="none" w:sz="0" w:space="0" w:color="auto"/>
                                <w:bottom w:val="none" w:sz="0" w:space="0" w:color="auto"/>
                                <w:right w:val="none" w:sz="0" w:space="0" w:color="auto"/>
                              </w:divBdr>
                              <w:divsChild>
                                <w:div w:id="1454519935">
                                  <w:marLeft w:val="0"/>
                                  <w:marRight w:val="0"/>
                                  <w:marTop w:val="0"/>
                                  <w:marBottom w:val="0"/>
                                  <w:divBdr>
                                    <w:top w:val="none" w:sz="0" w:space="0" w:color="auto"/>
                                    <w:left w:val="none" w:sz="0" w:space="0" w:color="auto"/>
                                    <w:bottom w:val="none" w:sz="0" w:space="0" w:color="auto"/>
                                    <w:right w:val="none" w:sz="0" w:space="0" w:color="auto"/>
                                  </w:divBdr>
                                  <w:divsChild>
                                    <w:div w:id="1188838423">
                                      <w:marLeft w:val="0"/>
                                      <w:marRight w:val="0"/>
                                      <w:marTop w:val="0"/>
                                      <w:marBottom w:val="0"/>
                                      <w:divBdr>
                                        <w:top w:val="none" w:sz="0" w:space="0" w:color="auto"/>
                                        <w:left w:val="none" w:sz="0" w:space="0" w:color="auto"/>
                                        <w:bottom w:val="none" w:sz="0" w:space="0" w:color="auto"/>
                                        <w:right w:val="none" w:sz="0" w:space="0" w:color="auto"/>
                                      </w:divBdr>
                                      <w:divsChild>
                                        <w:div w:id="1411738003">
                                          <w:marLeft w:val="129"/>
                                          <w:marRight w:val="0"/>
                                          <w:marTop w:val="0"/>
                                          <w:marBottom w:val="0"/>
                                          <w:divBdr>
                                            <w:top w:val="none" w:sz="0" w:space="0" w:color="auto"/>
                                            <w:left w:val="none" w:sz="0" w:space="0" w:color="auto"/>
                                            <w:bottom w:val="none" w:sz="0" w:space="0" w:color="auto"/>
                                            <w:right w:val="none" w:sz="0" w:space="0" w:color="auto"/>
                                          </w:divBdr>
                                          <w:divsChild>
                                            <w:div w:id="4170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9946">
                      <w:marLeft w:val="0"/>
                      <w:marRight w:val="0"/>
                      <w:marTop w:val="0"/>
                      <w:marBottom w:val="0"/>
                      <w:divBdr>
                        <w:top w:val="none" w:sz="0" w:space="0" w:color="auto"/>
                        <w:left w:val="none" w:sz="0" w:space="0" w:color="auto"/>
                        <w:bottom w:val="none" w:sz="0" w:space="0" w:color="auto"/>
                        <w:right w:val="none" w:sz="0" w:space="0" w:color="auto"/>
                      </w:divBdr>
                      <w:divsChild>
                        <w:div w:id="1001854154">
                          <w:marLeft w:val="0"/>
                          <w:marRight w:val="0"/>
                          <w:marTop w:val="0"/>
                          <w:marBottom w:val="0"/>
                          <w:divBdr>
                            <w:top w:val="none" w:sz="0" w:space="0" w:color="auto"/>
                            <w:left w:val="none" w:sz="0" w:space="0" w:color="auto"/>
                            <w:bottom w:val="none" w:sz="0" w:space="0" w:color="auto"/>
                            <w:right w:val="none" w:sz="0" w:space="0" w:color="auto"/>
                          </w:divBdr>
                        </w:div>
                        <w:div w:id="6334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2323">
                  <w:marLeft w:val="0"/>
                  <w:marRight w:val="0"/>
                  <w:marTop w:val="450"/>
                  <w:marBottom w:val="0"/>
                  <w:divBdr>
                    <w:top w:val="none" w:sz="0" w:space="0" w:color="auto"/>
                    <w:left w:val="none" w:sz="0" w:space="0" w:color="auto"/>
                    <w:bottom w:val="none" w:sz="0" w:space="0" w:color="auto"/>
                    <w:right w:val="none" w:sz="0" w:space="0" w:color="auto"/>
                  </w:divBdr>
                  <w:divsChild>
                    <w:div w:id="10679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2647">
          <w:marLeft w:val="0"/>
          <w:marRight w:val="0"/>
          <w:marTop w:val="0"/>
          <w:marBottom w:val="0"/>
          <w:divBdr>
            <w:top w:val="none" w:sz="0" w:space="0" w:color="auto"/>
            <w:left w:val="none" w:sz="0" w:space="0" w:color="auto"/>
            <w:bottom w:val="none" w:sz="0" w:space="0" w:color="auto"/>
            <w:right w:val="none" w:sz="0" w:space="0" w:color="auto"/>
          </w:divBdr>
          <w:divsChild>
            <w:div w:id="1500272024">
              <w:marLeft w:val="0"/>
              <w:marRight w:val="0"/>
              <w:marTop w:val="0"/>
              <w:marBottom w:val="0"/>
              <w:divBdr>
                <w:top w:val="none" w:sz="0" w:space="0" w:color="auto"/>
                <w:left w:val="none" w:sz="0" w:space="0" w:color="auto"/>
                <w:bottom w:val="none" w:sz="0" w:space="0" w:color="auto"/>
                <w:right w:val="none" w:sz="0" w:space="0" w:color="auto"/>
              </w:divBdr>
              <w:divsChild>
                <w:div w:id="272133640">
                  <w:marLeft w:val="0"/>
                  <w:marRight w:val="0"/>
                  <w:marTop w:val="0"/>
                  <w:marBottom w:val="0"/>
                  <w:divBdr>
                    <w:top w:val="none" w:sz="0" w:space="0" w:color="auto"/>
                    <w:left w:val="none" w:sz="0" w:space="0" w:color="auto"/>
                    <w:bottom w:val="none" w:sz="0" w:space="0" w:color="auto"/>
                    <w:right w:val="none" w:sz="0" w:space="0" w:color="auto"/>
                  </w:divBdr>
                  <w:divsChild>
                    <w:div w:id="4075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section_lc/LEGITEXT000006070721/LEGISCTA000006150396/" TargetMode="External"/><Relationship Id="rId13" Type="http://schemas.openxmlformats.org/officeDocument/2006/relationships/hyperlink" Target="https://www.legifrance.gouv.fr/codes/article_lc/LEGIARTI000044072129" TargetMode="External"/><Relationship Id="rId18" Type="http://schemas.openxmlformats.org/officeDocument/2006/relationships/hyperlink" Target="https://www.legifrance.gouv.fr/codes/article_lc/LEGIARTI000044072054" TargetMode="External"/><Relationship Id="rId3" Type="http://schemas.openxmlformats.org/officeDocument/2006/relationships/settings" Target="settings.xml"/><Relationship Id="rId7" Type="http://schemas.openxmlformats.org/officeDocument/2006/relationships/hyperlink" Target="https://www.legifrance.gouv.fr/codes/section_lc/LEGITEXT000006070721/LEGISCTA000006136444/" TargetMode="External"/><Relationship Id="rId12" Type="http://schemas.openxmlformats.org/officeDocument/2006/relationships/hyperlink" Target="https://www.legifrance.gouv.fr/loda/id/LEGIARTI000044045526/2021-09-17/" TargetMode="External"/><Relationship Id="rId17" Type="http://schemas.openxmlformats.org/officeDocument/2006/relationships/hyperlink" Target="https://www.legifrance.gouv.fr/codes/article_lc/LEGIARTI000044072218" TargetMode="External"/><Relationship Id="rId2" Type="http://schemas.openxmlformats.org/officeDocument/2006/relationships/styles" Target="styles.xml"/><Relationship Id="rId16" Type="http://schemas.openxmlformats.org/officeDocument/2006/relationships/hyperlink" Target="https://www.legifrance.gouv.fr/loda/id/LEGIARTI000044045526/2021-09-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france.gouv.fr/codes/section_lc/LEGITEXT000006070721/LEGISCTA000006118201/" TargetMode="External"/><Relationship Id="rId11" Type="http://schemas.openxmlformats.org/officeDocument/2006/relationships/hyperlink" Target="https://www.legifrance.gouv.fr/codes/article_lc/LEGIARTI000044072139" TargetMode="External"/><Relationship Id="rId5" Type="http://schemas.openxmlformats.org/officeDocument/2006/relationships/hyperlink" Target="https://www.legifrance.gouv.fr/codes/section_lc/LEGITEXT000006070721/LEGISCTA000006091495/" TargetMode="External"/><Relationship Id="rId15" Type="http://schemas.openxmlformats.org/officeDocument/2006/relationships/hyperlink" Target="https://www.legifrance.gouv.fr/codes/article_lc/LEGIARTI000044072261" TargetMode="External"/><Relationship Id="rId10" Type="http://schemas.openxmlformats.org/officeDocument/2006/relationships/hyperlink" Target="https://www.legifrance.gouv.fr/codes/section_lc/LEGITEXT000006070721/LEGISCTA0000061818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codes/section_lc/LEGITEXT000006070721/LEGISCTA000006165668/" TargetMode="External"/><Relationship Id="rId14" Type="http://schemas.openxmlformats.org/officeDocument/2006/relationships/hyperlink" Target="https://www.legifrance.gouv.fr/codes/article_lc/LEGIARTI0000440722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3</cp:revision>
  <dcterms:created xsi:type="dcterms:W3CDTF">2022-04-06T11:58:00Z</dcterms:created>
  <dcterms:modified xsi:type="dcterms:W3CDTF">2022-09-15T10:14:00Z</dcterms:modified>
</cp:coreProperties>
</file>