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D03" w:rsidRDefault="002E3B30" w:rsidP="002E3B30">
      <w:pPr>
        <w:jc w:val="center"/>
        <w:rPr>
          <w:b/>
          <w:sz w:val="28"/>
          <w:szCs w:val="28"/>
        </w:rPr>
      </w:pPr>
      <w:r w:rsidRPr="002E3B30">
        <w:rPr>
          <w:b/>
          <w:sz w:val="28"/>
          <w:szCs w:val="28"/>
        </w:rPr>
        <w:t>DIFFERENTS TEXTES UTILES RELATIFS AUX TRAVAUX INTERESSANT LES  BATIMENTS  EN PERIL OU INSALUBRES SITUES DANS DES ESPACES PROTEGES</w:t>
      </w:r>
    </w:p>
    <w:p w:rsidR="002E3B30" w:rsidRPr="002E3B30" w:rsidRDefault="002E3B30" w:rsidP="002E3B30">
      <w:pPr>
        <w:jc w:val="center"/>
        <w:rPr>
          <w:b/>
          <w:sz w:val="28"/>
          <w:szCs w:val="28"/>
        </w:rPr>
      </w:pPr>
      <w:r>
        <w:rPr>
          <w:b/>
          <w:sz w:val="28"/>
          <w:szCs w:val="28"/>
        </w:rPr>
        <w:t xml:space="preserve">AVIS DES ABF </w:t>
      </w:r>
    </w:p>
    <w:p w:rsidR="002E3B30" w:rsidRDefault="002E3B30">
      <w:pPr>
        <w:rPr>
          <w:rFonts w:ascii="Arial" w:hAnsi="Arial" w:cs="Arial"/>
          <w:b/>
          <w:color w:val="0070C0"/>
        </w:rPr>
      </w:pPr>
    </w:p>
    <w:p w:rsidR="002E3B30" w:rsidRDefault="002E3B30">
      <w:pPr>
        <w:rPr>
          <w:rFonts w:ascii="Arial" w:hAnsi="Arial" w:cs="Arial"/>
          <w:b/>
          <w:color w:val="0070C0"/>
          <w:sz w:val="24"/>
          <w:szCs w:val="24"/>
        </w:rPr>
      </w:pPr>
      <w:r w:rsidRPr="002E3B30">
        <w:rPr>
          <w:rFonts w:ascii="Arial" w:hAnsi="Arial" w:cs="Arial"/>
          <w:b/>
          <w:color w:val="0070C0"/>
          <w:sz w:val="24"/>
          <w:szCs w:val="24"/>
        </w:rPr>
        <w:t xml:space="preserve">CODE DU PATRIMOINE </w:t>
      </w:r>
    </w:p>
    <w:p w:rsidR="000731AF" w:rsidRDefault="000731AF">
      <w:pPr>
        <w:rPr>
          <w:rFonts w:ascii="Arial" w:hAnsi="Arial" w:cs="Arial"/>
          <w:b/>
          <w:color w:val="0070C0"/>
          <w:sz w:val="24"/>
          <w:szCs w:val="24"/>
        </w:rPr>
      </w:pPr>
      <w:r>
        <w:rPr>
          <w:rFonts w:ascii="Arial" w:hAnsi="Arial" w:cs="Arial"/>
          <w:b/>
          <w:color w:val="0070C0"/>
          <w:sz w:val="24"/>
          <w:szCs w:val="24"/>
        </w:rPr>
        <w:t xml:space="preserve">Dispositions relatives aux sites patrimoniaux remarquables (SPR) </w:t>
      </w:r>
    </w:p>
    <w:p w:rsidR="002E3B30" w:rsidRDefault="002E3B30">
      <w:pPr>
        <w:rPr>
          <w:rFonts w:ascii="Arial" w:eastAsia="Times New Roman" w:hAnsi="Arial" w:cs="Arial"/>
          <w:b/>
          <w:color w:val="365F91" w:themeColor="accent1" w:themeShade="BF"/>
          <w:lang w:eastAsia="fr-FR"/>
        </w:rPr>
      </w:pPr>
      <w:r w:rsidRPr="002E3B30">
        <w:rPr>
          <w:rFonts w:ascii="Arial" w:eastAsia="Times New Roman" w:hAnsi="Arial" w:cs="Arial"/>
          <w:b/>
          <w:color w:val="365F91" w:themeColor="accent1" w:themeShade="BF"/>
          <w:lang w:eastAsia="fr-FR"/>
        </w:rPr>
        <w:t>Article L.632-2</w:t>
      </w:r>
    </w:p>
    <w:p w:rsidR="000731AF" w:rsidRPr="000731AF" w:rsidRDefault="000731AF" w:rsidP="00323C69">
      <w:pPr>
        <w:pStyle w:val="NormalWeb"/>
        <w:shd w:val="clear" w:color="auto" w:fill="FFFFFF"/>
        <w:spacing w:before="0" w:beforeAutospacing="0" w:after="0" w:afterAutospacing="0"/>
        <w:rPr>
          <w:rFonts w:ascii="Arial" w:hAnsi="Arial" w:cs="Arial"/>
          <w:color w:val="000000"/>
          <w:sz w:val="22"/>
          <w:szCs w:val="22"/>
        </w:rPr>
      </w:pPr>
      <w:r w:rsidRPr="000731AF">
        <w:rPr>
          <w:rFonts w:ascii="Arial" w:hAnsi="Arial" w:cs="Arial"/>
          <w:color w:val="000000"/>
          <w:sz w:val="22"/>
          <w:szCs w:val="22"/>
        </w:rPr>
        <w:t>I. – L'autorisation prévue à l'article L. 632-1 est, sous réserve de l'article L. 632-2-1, subordonnée à l'accord de l'architecte des Bâtiments de France, le cas échéant assorti de prescriptions motivées. A ce titre, ce dernier s'assure du respect de l'intérêt public attaché au patrimoine, à l'architecture, au paysage naturel ou urbain, à la qualité des constructions et à leur insertion harmonieuse dans le milieu environnant. Il s'assure, le cas échéant, du respect des règles du plan de sauvegarde et de mise en valeur ou du plan de valorisation de l'architecture et du patrimoine. Tout avis défavorable de l'architecte des Bâtiments de France rendu dans le cadre de la procédure prévue au présent alinéa comporte une mention informative sur les possibilités de recours à son encontre et sur les modalités de ce recours.</w:t>
      </w:r>
      <w:r w:rsidRPr="000731AF">
        <w:rPr>
          <w:rFonts w:ascii="Arial" w:hAnsi="Arial" w:cs="Arial"/>
          <w:color w:val="000000"/>
          <w:sz w:val="22"/>
          <w:szCs w:val="22"/>
        </w:rPr>
        <w:br/>
      </w:r>
      <w:r w:rsidRPr="000731AF">
        <w:rPr>
          <w:rFonts w:ascii="Arial" w:hAnsi="Arial" w:cs="Arial"/>
          <w:color w:val="000000"/>
          <w:sz w:val="22"/>
          <w:szCs w:val="22"/>
        </w:rPr>
        <w:br/>
        <w:t>Le permis de construire, le permis de démolir, le permis d'aménager, l'absence d'opposition à déclaration préalable, l'autorisation environnementale prévue à l'article L. 181-1 du code de l'environnement ou l'autorisation prévue au titre des sites classés en application de l'article L. 341-10 du même code tient lieu de l'autorisation prévue à l'article L. 632-1 du présent code si l'architecte des Bâtiments de France a donné son accord, dans les conditions prévues au premier alinéa du présent I.</w:t>
      </w:r>
      <w:r w:rsidRPr="000731AF">
        <w:rPr>
          <w:rFonts w:ascii="Arial" w:hAnsi="Arial" w:cs="Arial"/>
          <w:color w:val="000000"/>
          <w:sz w:val="22"/>
          <w:szCs w:val="22"/>
        </w:rPr>
        <w:br/>
      </w:r>
      <w:r w:rsidRPr="000731AF">
        <w:rPr>
          <w:rFonts w:ascii="Arial" w:hAnsi="Arial" w:cs="Arial"/>
          <w:color w:val="000000"/>
          <w:sz w:val="22"/>
          <w:szCs w:val="22"/>
        </w:rPr>
        <w:br/>
        <w:t>En cas de silence de l'architecte des Bâtiments de France, cet accord est réputé donné.</w:t>
      </w:r>
      <w:r w:rsidRPr="000731AF">
        <w:rPr>
          <w:rFonts w:ascii="Arial" w:hAnsi="Arial" w:cs="Arial"/>
          <w:color w:val="000000"/>
          <w:sz w:val="22"/>
          <w:szCs w:val="22"/>
        </w:rPr>
        <w:br/>
      </w:r>
      <w:r w:rsidRPr="000731AF">
        <w:rPr>
          <w:rFonts w:ascii="Arial" w:hAnsi="Arial" w:cs="Arial"/>
          <w:color w:val="000000"/>
          <w:sz w:val="22"/>
          <w:szCs w:val="22"/>
        </w:rPr>
        <w:br/>
        <w:t>L'autorité compétente pour délivrer l'autorisation peut proposer un projet de décision à l'architecte des Bâtiments de France. Celui-ci émet un avis consultatif sur le projet de décision et peut proposer des modifications, le cas échéant après étude conjointe du dossier.</w:t>
      </w:r>
    </w:p>
    <w:p w:rsidR="000731AF" w:rsidRDefault="000731AF" w:rsidP="00323C69">
      <w:pPr>
        <w:pStyle w:val="NormalWeb"/>
        <w:shd w:val="clear" w:color="auto" w:fill="FFFFFF"/>
        <w:spacing w:before="0" w:beforeAutospacing="0" w:after="0" w:afterAutospacing="0"/>
        <w:rPr>
          <w:rFonts w:ascii="Arial" w:hAnsi="Arial" w:cs="Arial"/>
          <w:color w:val="000000"/>
          <w:sz w:val="22"/>
          <w:szCs w:val="22"/>
        </w:rPr>
      </w:pPr>
      <w:r w:rsidRPr="000731AF">
        <w:rPr>
          <w:rFonts w:ascii="Arial" w:hAnsi="Arial" w:cs="Arial"/>
          <w:color w:val="000000"/>
          <w:sz w:val="22"/>
          <w:szCs w:val="22"/>
        </w:rPr>
        <w:t>L'autorisation délivrée énonce, le cas échéant, les prescriptions motivées auxquelles le demandeur doit se conformer.</w:t>
      </w:r>
    </w:p>
    <w:p w:rsidR="00323C69" w:rsidRPr="000731AF" w:rsidRDefault="00323C69" w:rsidP="00323C69">
      <w:pPr>
        <w:pStyle w:val="NormalWeb"/>
        <w:shd w:val="clear" w:color="auto" w:fill="FFFFFF"/>
        <w:spacing w:before="0" w:beforeAutospacing="0" w:after="0" w:afterAutospacing="0"/>
        <w:rPr>
          <w:rFonts w:ascii="Arial" w:hAnsi="Arial" w:cs="Arial"/>
          <w:color w:val="000000"/>
          <w:sz w:val="22"/>
          <w:szCs w:val="22"/>
        </w:rPr>
      </w:pPr>
    </w:p>
    <w:p w:rsidR="002E3B30" w:rsidRPr="000731AF" w:rsidRDefault="000731AF">
      <w:pPr>
        <w:rPr>
          <w:rFonts w:ascii="Arial" w:hAnsi="Arial" w:cs="Arial"/>
          <w:b/>
          <w:i/>
          <w:color w:val="365F91" w:themeColor="accent1" w:themeShade="BF"/>
        </w:rPr>
      </w:pPr>
      <w:r w:rsidRPr="000731AF">
        <w:rPr>
          <w:rFonts w:ascii="Calibri" w:hAnsi="Calibri" w:cs="Calibri"/>
          <w:b/>
          <w:i/>
          <w:color w:val="365F91" w:themeColor="accent1" w:themeShade="BF"/>
        </w:rPr>
        <w:t>”</w:t>
      </w:r>
      <w:r w:rsidRPr="000731AF">
        <w:rPr>
          <w:rFonts w:ascii="Arial" w:hAnsi="Arial" w:cs="Arial"/>
          <w:b/>
          <w:i/>
          <w:color w:val="365F91" w:themeColor="accent1" w:themeShade="BF"/>
        </w:rPr>
        <w:t>II et III …….."</w:t>
      </w:r>
    </w:p>
    <w:p w:rsidR="00323C69" w:rsidRDefault="00323C69" w:rsidP="002E3B30">
      <w:pPr>
        <w:shd w:val="clear" w:color="auto" w:fill="FFFFFF"/>
        <w:spacing w:after="120" w:line="240" w:lineRule="auto"/>
        <w:outlineLvl w:val="1"/>
        <w:rPr>
          <w:rFonts w:ascii="Arial" w:eastAsia="Times New Roman" w:hAnsi="Arial" w:cs="Arial"/>
          <w:b/>
          <w:bCs/>
          <w:color w:val="4A5E81"/>
          <w:lang w:eastAsia="fr-FR"/>
        </w:rPr>
      </w:pPr>
    </w:p>
    <w:p w:rsidR="002E3B30" w:rsidRPr="002E3B30" w:rsidRDefault="002E3B30" w:rsidP="00323C69">
      <w:pPr>
        <w:shd w:val="clear" w:color="auto" w:fill="FFFFFF"/>
        <w:spacing w:after="0" w:line="240" w:lineRule="auto"/>
        <w:outlineLvl w:val="1"/>
        <w:rPr>
          <w:rFonts w:ascii="Arial" w:eastAsia="Times New Roman" w:hAnsi="Arial" w:cs="Arial"/>
          <w:b/>
          <w:bCs/>
          <w:color w:val="4A5E81"/>
          <w:lang w:eastAsia="fr-FR"/>
        </w:rPr>
      </w:pPr>
      <w:r w:rsidRPr="002E3B30">
        <w:rPr>
          <w:rFonts w:ascii="Arial" w:eastAsia="Times New Roman" w:hAnsi="Arial" w:cs="Arial"/>
          <w:b/>
          <w:bCs/>
          <w:color w:val="4A5E81"/>
          <w:lang w:eastAsia="fr-FR"/>
        </w:rPr>
        <w:t>Article L632-2-1 /</w:t>
      </w:r>
      <w:r w:rsidRPr="002E3B30">
        <w:rPr>
          <w:rFonts w:ascii="Arial" w:eastAsia="Times New Roman" w:hAnsi="Arial" w:cs="Arial"/>
          <w:bCs/>
          <w:i/>
          <w:color w:val="365F91" w:themeColor="accent1" w:themeShade="BF"/>
          <w:lang w:eastAsia="fr-FR"/>
        </w:rPr>
        <w:t>Version</w:t>
      </w:r>
      <w:r w:rsidRPr="002E3B30">
        <w:rPr>
          <w:rFonts w:ascii="Arial" w:eastAsia="Times New Roman" w:hAnsi="Arial" w:cs="Arial"/>
          <w:b/>
          <w:bCs/>
          <w:color w:val="D51622"/>
          <w:lang w:eastAsia="fr-FR"/>
        </w:rPr>
        <w:t xml:space="preserve"> </w:t>
      </w:r>
      <w:r w:rsidRPr="002E3B30">
        <w:rPr>
          <w:rFonts w:ascii="Arial" w:eastAsia="Times New Roman" w:hAnsi="Arial" w:cs="Arial"/>
          <w:bCs/>
          <w:i/>
          <w:color w:val="365F91" w:themeColor="accent1" w:themeShade="BF"/>
          <w:lang w:eastAsia="fr-FR"/>
        </w:rPr>
        <w:t>en vigueur depuis le 01 janvier 2021</w:t>
      </w:r>
      <w:r>
        <w:rPr>
          <w:rFonts w:ascii="Arial" w:eastAsia="Times New Roman" w:hAnsi="Arial" w:cs="Arial"/>
          <w:bCs/>
          <w:i/>
          <w:color w:val="365F91" w:themeColor="accent1" w:themeShade="BF"/>
          <w:lang w:eastAsia="fr-FR"/>
        </w:rPr>
        <w:t xml:space="preserve">, </w:t>
      </w:r>
      <w:hyperlink r:id="rId4" w:history="1">
        <w:r>
          <w:rPr>
            <w:rFonts w:ascii="Arial" w:eastAsia="Times New Roman" w:hAnsi="Arial" w:cs="Arial"/>
            <w:bCs/>
            <w:i/>
            <w:color w:val="4A5E81"/>
            <w:sz w:val="21"/>
            <w:szCs w:val="21"/>
            <w:lang w:eastAsia="fr-FR"/>
          </w:rPr>
          <w:t>m</w:t>
        </w:r>
        <w:r w:rsidRPr="002E3B30">
          <w:rPr>
            <w:rFonts w:ascii="Arial" w:eastAsia="Times New Roman" w:hAnsi="Arial" w:cs="Arial"/>
            <w:bCs/>
            <w:i/>
            <w:color w:val="4A5E81"/>
            <w:sz w:val="21"/>
            <w:szCs w:val="21"/>
            <w:lang w:eastAsia="fr-FR"/>
          </w:rPr>
          <w:t xml:space="preserve">odifié par </w:t>
        </w:r>
        <w:r>
          <w:rPr>
            <w:rFonts w:ascii="Arial" w:eastAsia="Times New Roman" w:hAnsi="Arial" w:cs="Arial"/>
            <w:bCs/>
            <w:i/>
            <w:color w:val="4A5E81"/>
            <w:sz w:val="21"/>
            <w:szCs w:val="21"/>
            <w:lang w:eastAsia="fr-FR"/>
          </w:rPr>
          <w:t>l'</w:t>
        </w:r>
        <w:r w:rsidRPr="002E3B30">
          <w:rPr>
            <w:rFonts w:ascii="Arial" w:eastAsia="Times New Roman" w:hAnsi="Arial" w:cs="Arial"/>
            <w:bCs/>
            <w:i/>
            <w:color w:val="4A5E81"/>
            <w:sz w:val="21"/>
            <w:szCs w:val="21"/>
            <w:lang w:eastAsia="fr-FR"/>
          </w:rPr>
          <w:t>Ordonnance du 16 septembre 2020 - art. 9</w:t>
        </w:r>
        <w:r w:rsidRPr="002E3B30">
          <w:rPr>
            <w:rFonts w:ascii="Arial" w:eastAsia="Times New Roman" w:hAnsi="Arial" w:cs="Arial"/>
            <w:bCs/>
            <w:i/>
            <w:color w:val="365F91" w:themeColor="accent1" w:themeShade="BF"/>
            <w:lang w:eastAsia="fr-FR"/>
          </w:rPr>
          <w:t xml:space="preserve"> </w:t>
        </w:r>
        <w:r>
          <w:rPr>
            <w:rFonts w:ascii="Arial" w:eastAsia="Times New Roman" w:hAnsi="Arial" w:cs="Arial"/>
            <w:bCs/>
            <w:i/>
            <w:color w:val="365F91" w:themeColor="accent1" w:themeShade="BF"/>
            <w:lang w:eastAsia="fr-FR"/>
          </w:rPr>
          <w:t xml:space="preserve"> post </w:t>
        </w:r>
        <w:r w:rsidRPr="002E3B30">
          <w:rPr>
            <w:rFonts w:ascii="Arial" w:eastAsia="Times New Roman" w:hAnsi="Arial" w:cs="Arial"/>
            <w:bCs/>
            <w:i/>
            <w:color w:val="365F91" w:themeColor="accent1" w:themeShade="BF"/>
            <w:lang w:eastAsia="fr-FR"/>
          </w:rPr>
          <w:t>loi ELAN</w:t>
        </w:r>
        <w:r w:rsidRPr="002E3B30">
          <w:rPr>
            <w:rFonts w:ascii="Arial" w:eastAsia="Times New Roman" w:hAnsi="Arial" w:cs="Arial"/>
            <w:bCs/>
            <w:i/>
            <w:color w:val="4A5E81"/>
            <w:sz w:val="21"/>
            <w:szCs w:val="21"/>
            <w:lang w:eastAsia="fr-FR"/>
          </w:rPr>
          <w:br/>
        </w:r>
      </w:hyperlink>
    </w:p>
    <w:p w:rsidR="002E3B30" w:rsidRPr="002E3B30" w:rsidRDefault="002E3B30" w:rsidP="00323C69">
      <w:pPr>
        <w:shd w:val="clear" w:color="auto" w:fill="FFFFFF"/>
        <w:spacing w:after="0" w:line="240" w:lineRule="auto"/>
        <w:rPr>
          <w:rFonts w:ascii="Arial" w:eastAsia="Times New Roman" w:hAnsi="Arial" w:cs="Arial"/>
          <w:color w:val="000000"/>
          <w:lang w:eastAsia="fr-FR"/>
        </w:rPr>
      </w:pPr>
      <w:r w:rsidRPr="000731AF">
        <w:rPr>
          <w:rFonts w:ascii="Arial" w:eastAsia="Times New Roman" w:hAnsi="Arial" w:cs="Arial"/>
          <w:lang w:eastAsia="fr-FR"/>
        </w:rPr>
        <w:t>Par exception au I de l'article L.632-2, l'aut</w:t>
      </w:r>
      <w:r w:rsidR="000731AF" w:rsidRPr="000731AF">
        <w:rPr>
          <w:rFonts w:ascii="Arial" w:eastAsia="Times New Roman" w:hAnsi="Arial" w:cs="Arial"/>
          <w:lang w:eastAsia="fr-FR"/>
        </w:rPr>
        <w:t>orisation prévue à l'article L.</w:t>
      </w:r>
      <w:r w:rsidRPr="000731AF">
        <w:rPr>
          <w:rFonts w:ascii="Arial" w:eastAsia="Times New Roman" w:hAnsi="Arial" w:cs="Arial"/>
          <w:lang w:eastAsia="fr-FR"/>
        </w:rPr>
        <w:t>632-1 est soumise à l'avis de l'architecte des Bâtiments de France lorsqu'elle porte sur :</w:t>
      </w:r>
      <w:r w:rsidRPr="000731AF">
        <w:rPr>
          <w:rFonts w:ascii="Arial" w:eastAsia="Times New Roman" w:hAnsi="Arial" w:cs="Arial"/>
          <w:lang w:eastAsia="fr-FR"/>
        </w:rPr>
        <w:br/>
      </w:r>
      <w:r w:rsidRPr="000731AF">
        <w:rPr>
          <w:rFonts w:ascii="Arial" w:eastAsia="Times New Roman" w:hAnsi="Arial" w:cs="Arial"/>
          <w:lang w:eastAsia="fr-FR"/>
        </w:rPr>
        <w:br/>
        <w:t>1° Des antennes relais de radiotéléphonie mobile ou de diffusion du très haut débit par voie hertzienne et leurs systèmes d'accroche ainsi que leurs locaux et installations techniques ;</w:t>
      </w:r>
      <w:r w:rsidRPr="000731AF">
        <w:rPr>
          <w:rFonts w:ascii="Arial" w:eastAsia="Times New Roman" w:hAnsi="Arial" w:cs="Arial"/>
          <w:lang w:eastAsia="fr-FR"/>
        </w:rPr>
        <w:br/>
      </w:r>
      <w:r w:rsidRPr="000731AF">
        <w:rPr>
          <w:rFonts w:ascii="Arial" w:eastAsia="Times New Roman" w:hAnsi="Arial" w:cs="Arial"/>
          <w:lang w:eastAsia="fr-FR"/>
        </w:rPr>
        <w:br/>
        <w:t>2° Des opérations mentionnées au </w:t>
      </w:r>
      <w:hyperlink r:id="rId5" w:history="1">
        <w:r w:rsidR="000731AF">
          <w:rPr>
            <w:rFonts w:ascii="Arial" w:eastAsia="Times New Roman" w:hAnsi="Arial" w:cs="Arial"/>
            <w:lang w:eastAsia="fr-FR"/>
          </w:rPr>
          <w:t>second alinéa de l'article L.</w:t>
        </w:r>
        <w:r w:rsidRPr="000731AF">
          <w:rPr>
            <w:rFonts w:ascii="Arial" w:eastAsia="Times New Roman" w:hAnsi="Arial" w:cs="Arial"/>
            <w:lang w:eastAsia="fr-FR"/>
          </w:rPr>
          <w:t>522-1 du code de la construction et de l'habitation</w:t>
        </w:r>
      </w:hyperlink>
      <w:r w:rsidRPr="000731AF">
        <w:rPr>
          <w:rFonts w:ascii="Arial" w:eastAsia="Times New Roman" w:hAnsi="Arial" w:cs="Arial"/>
          <w:lang w:eastAsia="fr-FR"/>
        </w:rPr>
        <w:t> ;</w:t>
      </w:r>
      <w:r w:rsidRPr="000731AF">
        <w:rPr>
          <w:rFonts w:ascii="Arial" w:eastAsia="Times New Roman" w:hAnsi="Arial" w:cs="Arial"/>
          <w:lang w:eastAsia="fr-FR"/>
        </w:rPr>
        <w:br/>
      </w:r>
      <w:r w:rsidRPr="000731AF">
        <w:rPr>
          <w:rFonts w:ascii="Arial" w:eastAsia="Times New Roman" w:hAnsi="Arial" w:cs="Arial"/>
          <w:lang w:eastAsia="fr-FR"/>
        </w:rPr>
        <w:br/>
        <w:t>3° Pour des mesures prescrites par un arrêté de mise en sécurité ou de traitement de</w:t>
      </w:r>
      <w:r w:rsidRPr="002E3B30">
        <w:rPr>
          <w:rFonts w:ascii="Arial" w:eastAsia="Times New Roman" w:hAnsi="Arial" w:cs="Arial"/>
          <w:color w:val="000000"/>
          <w:lang w:eastAsia="fr-FR"/>
        </w:rPr>
        <w:t xml:space="preserve"> </w:t>
      </w:r>
      <w:r w:rsidRPr="002E3B30">
        <w:rPr>
          <w:rFonts w:ascii="Arial" w:eastAsia="Times New Roman" w:hAnsi="Arial" w:cs="Arial"/>
          <w:color w:val="000000"/>
          <w:lang w:eastAsia="fr-FR"/>
        </w:rPr>
        <w:lastRenderedPageBreak/>
        <w:t>l'insalubrité pris</w:t>
      </w:r>
      <w:r w:rsidR="000731AF">
        <w:rPr>
          <w:rFonts w:ascii="Arial" w:eastAsia="Times New Roman" w:hAnsi="Arial" w:cs="Arial"/>
          <w:color w:val="000000"/>
          <w:lang w:eastAsia="fr-FR"/>
        </w:rPr>
        <w:t xml:space="preserve"> en application de l'article L.</w:t>
      </w:r>
      <w:r w:rsidRPr="002E3B30">
        <w:rPr>
          <w:rFonts w:ascii="Arial" w:eastAsia="Times New Roman" w:hAnsi="Arial" w:cs="Arial"/>
          <w:color w:val="000000"/>
          <w:lang w:eastAsia="fr-FR"/>
        </w:rPr>
        <w:t>511-11 du code de la construction et de l'habitation portant sur des immeubles à usage d'habitation et ayant prescrit la démolition ou l'interdiction définitive d'habiter.</w:t>
      </w:r>
    </w:p>
    <w:p w:rsidR="00323C69" w:rsidRDefault="00323C69" w:rsidP="00323C69">
      <w:pPr>
        <w:shd w:val="clear" w:color="auto" w:fill="FFFFFF"/>
        <w:spacing w:after="0" w:line="240" w:lineRule="auto"/>
        <w:rPr>
          <w:rFonts w:ascii="Arial" w:eastAsia="Times New Roman" w:hAnsi="Arial" w:cs="Arial"/>
          <w:color w:val="000000"/>
          <w:lang w:eastAsia="fr-FR"/>
        </w:rPr>
      </w:pPr>
    </w:p>
    <w:p w:rsidR="002E3B30" w:rsidRDefault="002E3B30" w:rsidP="00323C69">
      <w:pPr>
        <w:shd w:val="clear" w:color="auto" w:fill="FFFFFF"/>
        <w:spacing w:after="0" w:line="240" w:lineRule="auto"/>
        <w:rPr>
          <w:rFonts w:ascii="Arial" w:eastAsia="Times New Roman" w:hAnsi="Arial" w:cs="Arial"/>
          <w:color w:val="000000"/>
          <w:lang w:eastAsia="fr-FR"/>
        </w:rPr>
      </w:pPr>
      <w:r w:rsidRPr="002E3B30">
        <w:rPr>
          <w:rFonts w:ascii="Arial" w:eastAsia="Times New Roman" w:hAnsi="Arial" w:cs="Arial"/>
          <w:color w:val="000000"/>
          <w:lang w:eastAsia="fr-FR"/>
        </w:rPr>
        <w:t>En cas de silence de l'architecte des Bâtiments de France, cet avis est réputé favorable.</w:t>
      </w:r>
    </w:p>
    <w:p w:rsidR="00323C69" w:rsidRDefault="00323C69" w:rsidP="00323C69">
      <w:pPr>
        <w:pStyle w:val="name-article"/>
        <w:shd w:val="clear" w:color="auto" w:fill="FFFFFF"/>
        <w:spacing w:before="0" w:beforeAutospacing="0" w:after="0" w:afterAutospacing="0"/>
        <w:rPr>
          <w:rFonts w:ascii="Arial" w:hAnsi="Arial" w:cs="Arial"/>
          <w:b/>
          <w:bCs/>
          <w:color w:val="4A5E81"/>
          <w:sz w:val="22"/>
          <w:szCs w:val="22"/>
        </w:rPr>
      </w:pPr>
    </w:p>
    <w:p w:rsidR="001D19FA" w:rsidRPr="001D19FA" w:rsidRDefault="001D19FA" w:rsidP="00323C69">
      <w:pPr>
        <w:pStyle w:val="name-article"/>
        <w:shd w:val="clear" w:color="auto" w:fill="FFFFFF"/>
        <w:spacing w:before="0" w:beforeAutospacing="0" w:after="0" w:afterAutospacing="0"/>
        <w:rPr>
          <w:rFonts w:ascii="Arial" w:hAnsi="Arial" w:cs="Arial"/>
          <w:b/>
          <w:bCs/>
          <w:color w:val="4A5E81"/>
          <w:sz w:val="22"/>
          <w:szCs w:val="22"/>
        </w:rPr>
      </w:pPr>
      <w:hyperlink r:id="rId6" w:history="1">
        <w:r w:rsidRPr="001D19FA">
          <w:rPr>
            <w:rStyle w:val="Lienhypertexte"/>
            <w:rFonts w:ascii="Arial" w:hAnsi="Arial" w:cs="Arial"/>
            <w:b/>
            <w:bCs/>
            <w:color w:val="4A5E81"/>
            <w:sz w:val="22"/>
            <w:szCs w:val="22"/>
            <w:u w:val="none"/>
          </w:rPr>
          <w:t>Article L632-3</w:t>
        </w:r>
      </w:hyperlink>
    </w:p>
    <w:p w:rsidR="00323C69" w:rsidRDefault="00323C69" w:rsidP="00323C69">
      <w:pPr>
        <w:pStyle w:val="NormalWeb"/>
        <w:shd w:val="clear" w:color="auto" w:fill="FFFFFF"/>
        <w:spacing w:before="0" w:beforeAutospacing="0" w:after="0" w:afterAutospacing="0"/>
        <w:rPr>
          <w:rFonts w:ascii="Arial" w:hAnsi="Arial" w:cs="Arial"/>
          <w:color w:val="000000"/>
          <w:sz w:val="22"/>
          <w:szCs w:val="22"/>
        </w:rPr>
      </w:pPr>
    </w:p>
    <w:p w:rsidR="001D19FA" w:rsidRPr="00323C69" w:rsidRDefault="001D19FA" w:rsidP="00323C69">
      <w:pPr>
        <w:pStyle w:val="NormalWeb"/>
        <w:shd w:val="clear" w:color="auto" w:fill="FFFFFF"/>
        <w:spacing w:before="0" w:beforeAutospacing="0" w:after="0" w:afterAutospacing="0"/>
        <w:rPr>
          <w:rFonts w:ascii="Arial" w:hAnsi="Arial" w:cs="Arial"/>
          <w:color w:val="000000"/>
          <w:sz w:val="22"/>
          <w:szCs w:val="22"/>
        </w:rPr>
      </w:pPr>
      <w:r w:rsidRPr="00323C69">
        <w:rPr>
          <w:rFonts w:ascii="Arial" w:hAnsi="Arial" w:cs="Arial"/>
          <w:color w:val="000000"/>
          <w:sz w:val="22"/>
          <w:szCs w:val="22"/>
        </w:rPr>
        <w:t>Le présent chapitre n'est pas applicable aux immeubles ou parties d'immeubles protégés au titre des monuments historiques.</w:t>
      </w:r>
    </w:p>
    <w:p w:rsidR="00323C69" w:rsidRDefault="00323C69" w:rsidP="00323C69">
      <w:pPr>
        <w:shd w:val="clear" w:color="auto" w:fill="FFFFFF"/>
        <w:spacing w:after="0" w:line="240" w:lineRule="auto"/>
        <w:rPr>
          <w:rFonts w:ascii="Arial" w:eastAsia="Times New Roman" w:hAnsi="Arial" w:cs="Arial"/>
          <w:b/>
          <w:bCs/>
          <w:color w:val="4A5E81"/>
          <w:sz w:val="24"/>
          <w:szCs w:val="24"/>
          <w:lang w:eastAsia="fr-FR"/>
        </w:rPr>
      </w:pPr>
    </w:p>
    <w:p w:rsidR="00323C69" w:rsidRDefault="00323C69" w:rsidP="00323C69">
      <w:pPr>
        <w:shd w:val="clear" w:color="auto" w:fill="FFFFFF"/>
        <w:spacing w:after="0" w:line="240" w:lineRule="auto"/>
        <w:rPr>
          <w:rFonts w:ascii="Arial" w:eastAsia="Times New Roman" w:hAnsi="Arial" w:cs="Arial"/>
          <w:b/>
          <w:bCs/>
          <w:color w:val="4A5E81"/>
          <w:sz w:val="24"/>
          <w:szCs w:val="24"/>
          <w:lang w:eastAsia="fr-FR"/>
        </w:rPr>
      </w:pPr>
      <w:r>
        <w:rPr>
          <w:rFonts w:ascii="Arial" w:eastAsia="Times New Roman" w:hAnsi="Arial" w:cs="Arial"/>
          <w:b/>
          <w:bCs/>
          <w:color w:val="4A5E81"/>
          <w:sz w:val="24"/>
          <w:szCs w:val="24"/>
          <w:lang w:eastAsia="fr-FR"/>
        </w:rPr>
        <w:t>Au titre des abords des MH</w:t>
      </w:r>
    </w:p>
    <w:p w:rsidR="00323C69" w:rsidRDefault="00323C69" w:rsidP="00323C69">
      <w:pPr>
        <w:shd w:val="clear" w:color="auto" w:fill="FFFFFF"/>
        <w:spacing w:after="0" w:line="240" w:lineRule="auto"/>
        <w:rPr>
          <w:rFonts w:ascii="Arial" w:eastAsia="Times New Roman" w:hAnsi="Arial" w:cs="Arial"/>
          <w:b/>
          <w:bCs/>
          <w:color w:val="4A5E81"/>
          <w:sz w:val="24"/>
          <w:szCs w:val="24"/>
          <w:lang w:eastAsia="fr-FR"/>
        </w:rPr>
      </w:pPr>
    </w:p>
    <w:p w:rsidR="00323C69" w:rsidRPr="00416C22" w:rsidRDefault="00323C69" w:rsidP="00323C69">
      <w:pPr>
        <w:shd w:val="clear" w:color="auto" w:fill="FFFFFF"/>
        <w:spacing w:after="0" w:line="240" w:lineRule="auto"/>
        <w:rPr>
          <w:rFonts w:ascii="Arial" w:eastAsia="Times New Roman" w:hAnsi="Arial" w:cs="Arial"/>
          <w:b/>
          <w:bCs/>
          <w:color w:val="4A5E81"/>
          <w:sz w:val="24"/>
          <w:szCs w:val="24"/>
          <w:lang w:eastAsia="fr-FR"/>
        </w:rPr>
      </w:pPr>
      <w:hyperlink r:id="rId7" w:history="1">
        <w:r w:rsidRPr="00323C69">
          <w:rPr>
            <w:rFonts w:ascii="Arial" w:eastAsia="Times New Roman" w:hAnsi="Arial" w:cs="Arial"/>
            <w:b/>
            <w:bCs/>
            <w:color w:val="4A5E81"/>
            <w:sz w:val="24"/>
            <w:szCs w:val="24"/>
            <w:lang w:eastAsia="fr-FR"/>
          </w:rPr>
          <w:t>Article L621-32</w:t>
        </w:r>
      </w:hyperlink>
    </w:p>
    <w:p w:rsidR="00323C69" w:rsidRPr="00416C22" w:rsidRDefault="00323C69" w:rsidP="00323C69">
      <w:pPr>
        <w:shd w:val="clear" w:color="auto" w:fill="FFFFFF"/>
        <w:spacing w:after="240" w:line="240" w:lineRule="auto"/>
        <w:rPr>
          <w:rFonts w:ascii="Arial" w:eastAsia="Times New Roman" w:hAnsi="Arial" w:cs="Arial"/>
          <w:color w:val="000000"/>
          <w:lang w:eastAsia="fr-FR"/>
        </w:rPr>
      </w:pPr>
      <w:r w:rsidRPr="00416C22">
        <w:rPr>
          <w:rFonts w:ascii="Arial" w:eastAsia="Times New Roman" w:hAnsi="Arial" w:cs="Arial"/>
          <w:color w:val="000000"/>
          <w:lang w:eastAsia="fr-FR"/>
        </w:rPr>
        <w:t>Les travaux susceptibles de modifier l'aspect extérieur d'un immeuble, bâti ou non bâti, protégé au titre des abords sont soumis à une autorisation préalable.</w:t>
      </w:r>
    </w:p>
    <w:p w:rsidR="00323C69" w:rsidRPr="00416C22" w:rsidRDefault="00323C69" w:rsidP="00323C69">
      <w:pPr>
        <w:shd w:val="clear" w:color="auto" w:fill="FFFFFF"/>
        <w:spacing w:after="240" w:line="240" w:lineRule="auto"/>
        <w:rPr>
          <w:rFonts w:ascii="Arial" w:eastAsia="Times New Roman" w:hAnsi="Arial" w:cs="Arial"/>
          <w:color w:val="000000"/>
          <w:lang w:eastAsia="fr-FR"/>
        </w:rPr>
      </w:pPr>
      <w:r w:rsidRPr="00416C22">
        <w:rPr>
          <w:rFonts w:ascii="Arial" w:eastAsia="Times New Roman" w:hAnsi="Arial" w:cs="Arial"/>
          <w:color w:val="000000"/>
          <w:lang w:eastAsia="fr-FR"/>
        </w:rPr>
        <w:t>L'autorisation peut être refusée ou assortie de prescriptions lorsque les travaux sont susceptibles de porter atteinte à la conservation ou à la mise en valeur d'un monument historique ou des abords.</w:t>
      </w:r>
    </w:p>
    <w:p w:rsidR="00323C69" w:rsidRPr="00416C22" w:rsidRDefault="00323C69" w:rsidP="00323C69">
      <w:pPr>
        <w:shd w:val="clear" w:color="auto" w:fill="FFFFFF"/>
        <w:spacing w:after="240" w:line="240" w:lineRule="auto"/>
        <w:rPr>
          <w:rFonts w:ascii="Arial" w:eastAsia="Times New Roman" w:hAnsi="Arial" w:cs="Arial"/>
          <w:color w:val="000000"/>
          <w:lang w:eastAsia="fr-FR"/>
        </w:rPr>
      </w:pPr>
      <w:r w:rsidRPr="00416C22">
        <w:rPr>
          <w:rFonts w:ascii="Arial" w:eastAsia="Times New Roman" w:hAnsi="Arial" w:cs="Arial"/>
          <w:color w:val="000000"/>
          <w:lang w:eastAsia="fr-FR"/>
        </w:rPr>
        <w:t>Lorsqu'elle porte sur des travaux soumis à formalité au titre du code de l'urbanisme ou au titre du code de l'environnement, l'autorisation prévue au présent article est délivrée dans les conditions et selon les modalités de recours prévues aux articles L. 632-2 et L. 632-2-1.</w:t>
      </w:r>
    </w:p>
    <w:p w:rsidR="002E3B30" w:rsidRPr="00323C69" w:rsidRDefault="002E3B30" w:rsidP="002E3B30">
      <w:pPr>
        <w:rPr>
          <w:rFonts w:ascii="Arial" w:hAnsi="Arial" w:cs="Arial"/>
          <w:b/>
          <w:bCs/>
        </w:rPr>
      </w:pPr>
    </w:p>
    <w:p w:rsidR="002E3B30" w:rsidRDefault="002E3B30" w:rsidP="002E3B30">
      <w:pPr>
        <w:rPr>
          <w:rFonts w:ascii="Arial" w:hAnsi="Arial" w:cs="Arial"/>
          <w:b/>
          <w:bCs/>
          <w:color w:val="0070C0"/>
          <w:sz w:val="24"/>
          <w:szCs w:val="24"/>
        </w:rPr>
      </w:pPr>
      <w:r w:rsidRPr="002E3B30">
        <w:rPr>
          <w:rFonts w:ascii="Arial" w:hAnsi="Arial" w:cs="Arial"/>
          <w:b/>
          <w:bCs/>
          <w:color w:val="0070C0"/>
          <w:sz w:val="24"/>
          <w:szCs w:val="24"/>
        </w:rPr>
        <w:t xml:space="preserve">CODE DE LA CONSTRUCTION ET DE L'HABITATION </w:t>
      </w:r>
    </w:p>
    <w:p w:rsidR="002E3B30" w:rsidRDefault="002E3B30" w:rsidP="002E3B30">
      <w:pPr>
        <w:rPr>
          <w:rFonts w:ascii="Arial" w:hAnsi="Arial" w:cs="Arial"/>
          <w:b/>
          <w:bCs/>
          <w:color w:val="365F91" w:themeColor="accent1" w:themeShade="BF"/>
        </w:rPr>
      </w:pPr>
      <w:r w:rsidRPr="002E3B30">
        <w:rPr>
          <w:rFonts w:ascii="Arial" w:hAnsi="Arial" w:cs="Arial"/>
          <w:b/>
          <w:bCs/>
          <w:color w:val="365F91" w:themeColor="accent1" w:themeShade="BF"/>
        </w:rPr>
        <w:t xml:space="preserve">Article R511-4 </w:t>
      </w:r>
    </w:p>
    <w:p w:rsidR="00323C69" w:rsidRPr="00323C69" w:rsidRDefault="00323C69" w:rsidP="00323C69">
      <w:pPr>
        <w:shd w:val="clear" w:color="auto" w:fill="FFFFFF"/>
        <w:spacing w:after="0" w:line="240" w:lineRule="auto"/>
        <w:rPr>
          <w:rFonts w:ascii="Arial" w:eastAsia="Times New Roman" w:hAnsi="Arial" w:cs="Arial"/>
          <w:lang w:eastAsia="fr-FR"/>
        </w:rPr>
      </w:pPr>
      <w:r w:rsidRPr="00323C69">
        <w:rPr>
          <w:rFonts w:ascii="Arial" w:eastAsia="Times New Roman" w:hAnsi="Arial" w:cs="Arial"/>
          <w:lang w:eastAsia="fr-FR"/>
        </w:rPr>
        <w:t>Avant d'ordonner la réparation ou la démolition d'un immeuble, d'un local ou d'une installation en application de l'article L.511-11, l'autorité compétente sollicite l'avis de l'architecte des Bâtiments de France dans les cas où cet immeuble est :</w:t>
      </w:r>
      <w:r w:rsidRPr="00323C69">
        <w:rPr>
          <w:rFonts w:ascii="Arial" w:eastAsia="Times New Roman" w:hAnsi="Arial" w:cs="Arial"/>
          <w:lang w:eastAsia="fr-FR"/>
        </w:rPr>
        <w:br/>
      </w:r>
      <w:r w:rsidRPr="00323C69">
        <w:rPr>
          <w:rFonts w:ascii="Arial" w:eastAsia="Times New Roman" w:hAnsi="Arial" w:cs="Arial"/>
          <w:lang w:eastAsia="fr-FR"/>
        </w:rPr>
        <w:br/>
        <w:t>1° Soit inscrit au titre des monuments historiques en application de l'article L.621-25 du code du patrimoine ;</w:t>
      </w:r>
      <w:r w:rsidRPr="00323C69">
        <w:rPr>
          <w:rFonts w:ascii="Arial" w:eastAsia="Times New Roman" w:hAnsi="Arial" w:cs="Arial"/>
          <w:lang w:eastAsia="fr-FR"/>
        </w:rPr>
        <w:br/>
        <w:t>2° Soit situé dans les abords des monuments historiques définis à l'article L.621-30 du même code ;</w:t>
      </w:r>
      <w:r w:rsidRPr="00323C69">
        <w:rPr>
          <w:rFonts w:ascii="Arial" w:eastAsia="Times New Roman" w:hAnsi="Arial" w:cs="Arial"/>
          <w:lang w:eastAsia="fr-FR"/>
        </w:rPr>
        <w:br/>
        <w:t>3° Soit situé dans le périmètre d'un site patrimonial remarquable classé en application de l'article L.631-1 du même code ;</w:t>
      </w:r>
      <w:r w:rsidRPr="00323C69">
        <w:rPr>
          <w:rFonts w:ascii="Arial" w:eastAsia="Times New Roman" w:hAnsi="Arial" w:cs="Arial"/>
          <w:lang w:eastAsia="fr-FR"/>
        </w:rPr>
        <w:br/>
        <w:t>4° Soit protégé au titre des articles L.341-1, L.341-2 ou L.341-7 du code de l'environnement.</w:t>
      </w:r>
      <w:r w:rsidRPr="00323C69">
        <w:rPr>
          <w:rFonts w:ascii="Arial" w:eastAsia="Times New Roman" w:hAnsi="Arial" w:cs="Arial"/>
          <w:lang w:eastAsia="fr-FR"/>
        </w:rPr>
        <w:br/>
      </w:r>
      <w:r w:rsidRPr="00323C69">
        <w:rPr>
          <w:rFonts w:ascii="Arial" w:eastAsia="Times New Roman" w:hAnsi="Arial" w:cs="Arial"/>
          <w:lang w:eastAsia="fr-FR"/>
        </w:rPr>
        <w:br/>
        <w:t>L'avis est réputé émis en l'absence de réponse dans le délai de quinze jours.</w:t>
      </w:r>
      <w:r w:rsidRPr="00323C69">
        <w:rPr>
          <w:rFonts w:ascii="Arial" w:eastAsia="Times New Roman" w:hAnsi="Arial" w:cs="Arial"/>
          <w:lang w:eastAsia="fr-FR"/>
        </w:rPr>
        <w:br/>
        <w:t>Dans les mêmes cas, lorsque l'autorité compétente fait application de la procédure prévue à l'article L.511-19, elle en informe immédiatement l'architecte des Bâtiments de France.</w:t>
      </w:r>
      <w:r w:rsidRPr="00323C69">
        <w:rPr>
          <w:rFonts w:ascii="Arial" w:eastAsia="Times New Roman" w:hAnsi="Arial" w:cs="Arial"/>
          <w:lang w:eastAsia="fr-FR"/>
        </w:rPr>
        <w:br/>
        <w:t>Lorsque la démolition concerne un immeuble ou une partie d'immeuble protégé en application des servitudes d'utilité publique mentionnées aux 1° à 4°, les éléments d'architecture ou de décoration qui sont susceptibles d'être remployés pour la restauration ou la reconstruction de l'immeuble ou qui présentent un intérêt historique ou artistique sont déposés en conservation, en tenant compte des indications de l'architecte des Bâtiments de France.</w:t>
      </w:r>
      <w:r w:rsidRPr="00323C69">
        <w:rPr>
          <w:rFonts w:ascii="Arial" w:eastAsia="Times New Roman" w:hAnsi="Arial" w:cs="Arial"/>
          <w:lang w:eastAsia="fr-FR"/>
        </w:rPr>
        <w:br/>
        <w:t>Les dispositions du présent article ne sont pas applicables dans les cas mentionnés au 2° et au 3° de l'article L. 511-2.</w:t>
      </w:r>
    </w:p>
    <w:p w:rsidR="002E3B30" w:rsidRPr="002E3B30" w:rsidRDefault="002E3B30" w:rsidP="002E3B30">
      <w:pPr>
        <w:rPr>
          <w:rFonts w:ascii="Arial" w:hAnsi="Arial" w:cs="Arial"/>
          <w:b/>
          <w:bCs/>
          <w:color w:val="365F91" w:themeColor="accent1" w:themeShade="BF"/>
        </w:rPr>
      </w:pPr>
    </w:p>
    <w:p w:rsidR="002E3B30" w:rsidRPr="002E3B30" w:rsidRDefault="002E3B30" w:rsidP="002E3B30">
      <w:pPr>
        <w:shd w:val="clear" w:color="auto" w:fill="FFFFFF"/>
        <w:spacing w:after="120" w:line="240" w:lineRule="auto"/>
        <w:outlineLvl w:val="1"/>
        <w:rPr>
          <w:rFonts w:ascii="Arial" w:eastAsia="Times New Roman" w:hAnsi="Arial" w:cs="Arial"/>
          <w:b/>
          <w:bCs/>
          <w:color w:val="4A5E81"/>
          <w:sz w:val="21"/>
          <w:szCs w:val="21"/>
          <w:lang w:eastAsia="fr-FR"/>
        </w:rPr>
      </w:pPr>
      <w:r w:rsidRPr="001A2662">
        <w:rPr>
          <w:rFonts w:ascii="Arial" w:eastAsia="Times New Roman" w:hAnsi="Arial" w:cs="Arial"/>
          <w:b/>
          <w:bCs/>
          <w:color w:val="4A5E81"/>
          <w:sz w:val="21"/>
          <w:szCs w:val="21"/>
          <w:lang w:eastAsia="fr-FR"/>
        </w:rPr>
        <w:lastRenderedPageBreak/>
        <w:t>Article L522-1</w:t>
      </w:r>
      <w:r>
        <w:rPr>
          <w:rFonts w:ascii="Arial" w:eastAsia="Times New Roman" w:hAnsi="Arial" w:cs="Arial"/>
          <w:b/>
          <w:bCs/>
          <w:color w:val="4A5E81"/>
          <w:sz w:val="21"/>
          <w:szCs w:val="21"/>
          <w:lang w:eastAsia="fr-FR"/>
        </w:rPr>
        <w:t xml:space="preserve"> - </w:t>
      </w:r>
      <w:r w:rsidRPr="002E3B30">
        <w:rPr>
          <w:rFonts w:ascii="Arial" w:eastAsia="Times New Roman" w:hAnsi="Arial" w:cs="Arial"/>
          <w:bCs/>
          <w:i/>
          <w:color w:val="365F91" w:themeColor="accent1" w:themeShade="BF"/>
          <w:sz w:val="21"/>
          <w:szCs w:val="21"/>
          <w:lang w:eastAsia="fr-FR"/>
        </w:rPr>
        <w:t>Version en vigueur depuis le 19 mai 2011</w:t>
      </w:r>
      <w:r>
        <w:rPr>
          <w:rFonts w:ascii="Arial" w:eastAsia="Times New Roman" w:hAnsi="Arial" w:cs="Arial"/>
          <w:b/>
          <w:bCs/>
          <w:color w:val="D51622"/>
          <w:sz w:val="21"/>
          <w:szCs w:val="21"/>
          <w:lang w:eastAsia="fr-FR"/>
        </w:rPr>
        <w:t> </w:t>
      </w:r>
    </w:p>
    <w:p w:rsidR="002E3B30" w:rsidRPr="001A2662" w:rsidRDefault="002E3B30" w:rsidP="002E3B30">
      <w:pPr>
        <w:shd w:val="clear" w:color="auto" w:fill="FFFFFF"/>
        <w:spacing w:after="240" w:line="240" w:lineRule="auto"/>
        <w:rPr>
          <w:rFonts w:ascii="Arial" w:eastAsia="Times New Roman" w:hAnsi="Arial" w:cs="Arial"/>
          <w:color w:val="000000"/>
          <w:sz w:val="21"/>
          <w:szCs w:val="21"/>
          <w:lang w:eastAsia="fr-FR"/>
        </w:rPr>
      </w:pPr>
      <w:r w:rsidRPr="001A2662">
        <w:rPr>
          <w:rFonts w:ascii="Arial" w:eastAsia="Times New Roman" w:hAnsi="Arial" w:cs="Arial"/>
          <w:color w:val="000000"/>
          <w:sz w:val="21"/>
          <w:szCs w:val="21"/>
          <w:lang w:eastAsia="fr-FR"/>
        </w:rPr>
        <w:t>En ce qui concerne les opérations relatives aux terrains sur lesquels sont utilisés aux fins d'habitation des locaux ou installations impropres à cet objet pour des raisons d'hygiène, de sécurité ou de salubrité et communément appelés " bidonvilles ", hormis les cas où l'arrêté de prise de possession du terrain est pris par le représentant de l'</w:t>
      </w:r>
      <w:r w:rsidR="00323C69" w:rsidRPr="001A2662">
        <w:rPr>
          <w:rFonts w:ascii="Arial" w:eastAsia="Times New Roman" w:hAnsi="Arial" w:cs="Arial"/>
          <w:color w:val="000000"/>
          <w:sz w:val="21"/>
          <w:szCs w:val="21"/>
          <w:lang w:eastAsia="fr-FR"/>
        </w:rPr>
        <w:t>État</w:t>
      </w:r>
      <w:r w:rsidRPr="001A2662">
        <w:rPr>
          <w:rFonts w:ascii="Arial" w:eastAsia="Times New Roman" w:hAnsi="Arial" w:cs="Arial"/>
          <w:color w:val="000000"/>
          <w:sz w:val="21"/>
          <w:szCs w:val="21"/>
          <w:lang w:eastAsia="fr-FR"/>
        </w:rPr>
        <w:t xml:space="preserve"> dans le département sur demande du maire ou du représentant de toute collectivité intéressée, l'</w:t>
      </w:r>
      <w:r w:rsidR="00323C69" w:rsidRPr="001A2662">
        <w:rPr>
          <w:rFonts w:ascii="Arial" w:eastAsia="Times New Roman" w:hAnsi="Arial" w:cs="Arial"/>
          <w:color w:val="000000"/>
          <w:sz w:val="21"/>
          <w:szCs w:val="21"/>
          <w:lang w:eastAsia="fr-FR"/>
        </w:rPr>
        <w:t>État</w:t>
      </w:r>
      <w:r w:rsidRPr="001A2662">
        <w:rPr>
          <w:rFonts w:ascii="Arial" w:eastAsia="Times New Roman" w:hAnsi="Arial" w:cs="Arial"/>
          <w:color w:val="000000"/>
          <w:sz w:val="21"/>
          <w:szCs w:val="21"/>
          <w:lang w:eastAsia="fr-FR"/>
        </w:rPr>
        <w:t xml:space="preserve"> ou ses opérateurs nationaux supportent seuls la charge financière de l'acquisition.</w:t>
      </w:r>
    </w:p>
    <w:p w:rsidR="002E3B30" w:rsidRDefault="002E3B30" w:rsidP="002E3B30">
      <w:pPr>
        <w:shd w:val="clear" w:color="auto" w:fill="FFFFFF"/>
        <w:spacing w:after="240" w:line="240" w:lineRule="auto"/>
        <w:rPr>
          <w:rFonts w:ascii="Arial" w:eastAsia="Times New Roman" w:hAnsi="Arial" w:cs="Arial"/>
          <w:color w:val="000000"/>
          <w:sz w:val="21"/>
          <w:szCs w:val="21"/>
          <w:lang w:eastAsia="fr-FR"/>
        </w:rPr>
      </w:pPr>
      <w:r w:rsidRPr="001A2662">
        <w:rPr>
          <w:rFonts w:ascii="Arial" w:eastAsia="Times New Roman" w:hAnsi="Arial" w:cs="Arial"/>
          <w:color w:val="000000"/>
          <w:sz w:val="21"/>
          <w:szCs w:val="21"/>
          <w:lang w:eastAsia="fr-FR"/>
        </w:rPr>
        <w:t>En ce qui concerne les autres opérations, un décret en Conseil d'</w:t>
      </w:r>
      <w:r w:rsidR="00323C69" w:rsidRPr="001A2662">
        <w:rPr>
          <w:rFonts w:ascii="Arial" w:eastAsia="Times New Roman" w:hAnsi="Arial" w:cs="Arial"/>
          <w:color w:val="000000"/>
          <w:sz w:val="21"/>
          <w:szCs w:val="21"/>
          <w:lang w:eastAsia="fr-FR"/>
        </w:rPr>
        <w:t>État</w:t>
      </w:r>
      <w:r w:rsidRPr="001A2662">
        <w:rPr>
          <w:rFonts w:ascii="Arial" w:eastAsia="Times New Roman" w:hAnsi="Arial" w:cs="Arial"/>
          <w:color w:val="000000"/>
          <w:sz w:val="21"/>
          <w:szCs w:val="21"/>
          <w:lang w:eastAsia="fr-FR"/>
        </w:rPr>
        <w:t xml:space="preserve"> fixe les modalités de financement et, notamment, la répartition de la charge des opérations foncières entre l'</w:t>
      </w:r>
      <w:r w:rsidR="00323C69" w:rsidRPr="001A2662">
        <w:rPr>
          <w:rFonts w:ascii="Arial" w:eastAsia="Times New Roman" w:hAnsi="Arial" w:cs="Arial"/>
          <w:color w:val="000000"/>
          <w:sz w:val="21"/>
          <w:szCs w:val="21"/>
          <w:lang w:eastAsia="fr-FR"/>
        </w:rPr>
        <w:t>État</w:t>
      </w:r>
      <w:r w:rsidRPr="001A2662">
        <w:rPr>
          <w:rFonts w:ascii="Arial" w:eastAsia="Times New Roman" w:hAnsi="Arial" w:cs="Arial"/>
          <w:color w:val="000000"/>
          <w:sz w:val="21"/>
          <w:szCs w:val="21"/>
          <w:lang w:eastAsia="fr-FR"/>
        </w:rPr>
        <w:t xml:space="preserve"> ou ses opérateurs nationaux et les autres collectivités publiques intéressées. Ce décret fixe la part du déficit prévu entre les dépenses et les recettes entraînées par l'opération qui est couverte par la subvention de l'</w:t>
      </w:r>
      <w:r w:rsidR="00323C69" w:rsidRPr="001A2662">
        <w:rPr>
          <w:rFonts w:ascii="Arial" w:eastAsia="Times New Roman" w:hAnsi="Arial" w:cs="Arial"/>
          <w:color w:val="000000"/>
          <w:sz w:val="21"/>
          <w:szCs w:val="21"/>
          <w:lang w:eastAsia="fr-FR"/>
        </w:rPr>
        <w:t>État</w:t>
      </w:r>
      <w:r w:rsidRPr="001A2662">
        <w:rPr>
          <w:rFonts w:ascii="Arial" w:eastAsia="Times New Roman" w:hAnsi="Arial" w:cs="Arial"/>
          <w:color w:val="000000"/>
          <w:sz w:val="21"/>
          <w:szCs w:val="21"/>
          <w:lang w:eastAsia="fr-FR"/>
        </w:rPr>
        <w:t>.</w:t>
      </w:r>
    </w:p>
    <w:p w:rsidR="002E3B30" w:rsidRPr="002E3B30" w:rsidRDefault="002E3B30" w:rsidP="002E3B30">
      <w:pPr>
        <w:shd w:val="clear" w:color="auto" w:fill="FFFFFF"/>
        <w:spacing w:after="240" w:line="240" w:lineRule="auto"/>
        <w:rPr>
          <w:rFonts w:ascii="Arial" w:eastAsia="Times New Roman" w:hAnsi="Arial" w:cs="Arial"/>
          <w:b/>
          <w:color w:val="0070C0"/>
          <w:sz w:val="24"/>
          <w:szCs w:val="24"/>
          <w:lang w:eastAsia="fr-FR"/>
        </w:rPr>
      </w:pPr>
      <w:r w:rsidRPr="002E3B30">
        <w:rPr>
          <w:rFonts w:ascii="Arial" w:eastAsia="Times New Roman" w:hAnsi="Arial" w:cs="Arial"/>
          <w:b/>
          <w:color w:val="0070C0"/>
          <w:sz w:val="24"/>
          <w:szCs w:val="24"/>
          <w:lang w:eastAsia="fr-FR"/>
        </w:rPr>
        <w:t xml:space="preserve">CODE DE L'URBANISME </w:t>
      </w:r>
    </w:p>
    <w:p w:rsidR="00993414" w:rsidRPr="00323C69" w:rsidRDefault="00323C69" w:rsidP="00993414">
      <w:pPr>
        <w:shd w:val="clear" w:color="auto" w:fill="FFFFFF"/>
        <w:spacing w:after="120" w:line="240" w:lineRule="auto"/>
        <w:outlineLvl w:val="5"/>
        <w:rPr>
          <w:rFonts w:ascii="Arial" w:eastAsia="Times New Roman" w:hAnsi="Arial" w:cs="Arial"/>
          <w:bCs/>
          <w:i/>
          <w:color w:val="002060"/>
          <w:lang w:eastAsia="fr-FR"/>
        </w:rPr>
      </w:pPr>
      <w:r w:rsidRPr="00323C69">
        <w:rPr>
          <w:rFonts w:ascii="Arial" w:eastAsia="Times New Roman" w:hAnsi="Arial" w:cs="Arial"/>
          <w:b/>
          <w:bCs/>
          <w:color w:val="4A5E81"/>
          <w:lang w:eastAsia="fr-FR"/>
        </w:rPr>
        <w:t>Article R*421-29</w:t>
      </w:r>
      <w:r w:rsidR="00993414" w:rsidRPr="00993414">
        <w:rPr>
          <w:rFonts w:ascii="Arial" w:eastAsia="Times New Roman" w:hAnsi="Arial" w:cs="Arial"/>
          <w:b/>
          <w:bCs/>
          <w:color w:val="D51622"/>
          <w:lang w:eastAsia="fr-FR"/>
        </w:rPr>
        <w:t xml:space="preserve"> </w:t>
      </w:r>
      <w:r w:rsidR="00993414" w:rsidRPr="00323C69">
        <w:rPr>
          <w:rFonts w:ascii="Arial" w:eastAsia="Times New Roman" w:hAnsi="Arial" w:cs="Arial"/>
          <w:bCs/>
          <w:i/>
          <w:color w:val="002060"/>
          <w:lang w:eastAsia="fr-FR"/>
        </w:rPr>
        <w:t>Version en vigueur depuis le 09 avril 2021</w:t>
      </w:r>
    </w:p>
    <w:p w:rsidR="00323C69" w:rsidRPr="00323C69" w:rsidRDefault="00323C69" w:rsidP="00323C69">
      <w:pPr>
        <w:shd w:val="clear" w:color="auto" w:fill="FFFFFF"/>
        <w:spacing w:after="240" w:line="240" w:lineRule="auto"/>
        <w:rPr>
          <w:rFonts w:ascii="Arial" w:eastAsia="Times New Roman" w:hAnsi="Arial" w:cs="Arial"/>
          <w:color w:val="000000"/>
          <w:lang w:eastAsia="fr-FR"/>
        </w:rPr>
      </w:pPr>
      <w:r w:rsidRPr="00323C69">
        <w:rPr>
          <w:rFonts w:ascii="Arial" w:eastAsia="Times New Roman" w:hAnsi="Arial" w:cs="Arial"/>
          <w:color w:val="000000"/>
          <w:lang w:eastAsia="fr-FR"/>
        </w:rPr>
        <w:t>Sont dispensées de permis de démolir :</w:t>
      </w:r>
    </w:p>
    <w:p w:rsidR="00323C69" w:rsidRPr="00323C69" w:rsidRDefault="00323C69" w:rsidP="00323C69">
      <w:pPr>
        <w:shd w:val="clear" w:color="auto" w:fill="FFFFFF"/>
        <w:spacing w:after="240" w:line="240" w:lineRule="auto"/>
        <w:rPr>
          <w:rFonts w:ascii="Arial" w:eastAsia="Times New Roman" w:hAnsi="Arial" w:cs="Arial"/>
          <w:color w:val="000000"/>
          <w:lang w:eastAsia="fr-FR"/>
        </w:rPr>
      </w:pPr>
      <w:r w:rsidRPr="00323C69">
        <w:rPr>
          <w:rFonts w:ascii="Arial" w:eastAsia="Times New Roman" w:hAnsi="Arial" w:cs="Arial"/>
          <w:color w:val="000000"/>
          <w:lang w:eastAsia="fr-FR"/>
        </w:rPr>
        <w:t>a) Les démolitions de constructions soumises à des règles de protection du secret de la défense nationale ;</w:t>
      </w:r>
    </w:p>
    <w:p w:rsidR="00323C69" w:rsidRPr="00323C69" w:rsidRDefault="00323C69" w:rsidP="00323C69">
      <w:pPr>
        <w:shd w:val="clear" w:color="auto" w:fill="FFFFFF"/>
        <w:spacing w:after="240" w:line="240" w:lineRule="auto"/>
        <w:rPr>
          <w:rFonts w:ascii="Arial" w:eastAsia="Times New Roman" w:hAnsi="Arial" w:cs="Arial"/>
          <w:color w:val="000000"/>
          <w:lang w:eastAsia="fr-FR"/>
        </w:rPr>
      </w:pPr>
      <w:r w:rsidRPr="00323C69">
        <w:rPr>
          <w:rFonts w:ascii="Arial" w:eastAsia="Times New Roman" w:hAnsi="Arial" w:cs="Arial"/>
          <w:color w:val="000000"/>
          <w:lang w:eastAsia="fr-FR"/>
        </w:rPr>
        <w:t>b) Les démolitions effectuées en application du </w:t>
      </w:r>
      <w:hyperlink r:id="rId8" w:history="1">
        <w:r w:rsidRPr="00993414">
          <w:rPr>
            <w:rFonts w:ascii="Arial" w:eastAsia="Times New Roman" w:hAnsi="Arial" w:cs="Arial"/>
            <w:color w:val="4A5E81"/>
            <w:lang w:eastAsia="fr-FR"/>
          </w:rPr>
          <w:t>code de la construction et de l'habitation</w:t>
        </w:r>
      </w:hyperlink>
      <w:r w:rsidRPr="00323C69">
        <w:rPr>
          <w:rFonts w:ascii="Arial" w:eastAsia="Times New Roman" w:hAnsi="Arial" w:cs="Arial"/>
          <w:color w:val="000000"/>
          <w:lang w:eastAsia="fr-FR"/>
        </w:rPr>
        <w:t> sur un bâtiment menaçant ruine ou en application du </w:t>
      </w:r>
      <w:hyperlink r:id="rId9" w:history="1">
        <w:r w:rsidRPr="00993414">
          <w:rPr>
            <w:rFonts w:ascii="Arial" w:eastAsia="Times New Roman" w:hAnsi="Arial" w:cs="Arial"/>
            <w:color w:val="4A5E81"/>
            <w:lang w:eastAsia="fr-FR"/>
          </w:rPr>
          <w:t>code de la santé publique</w:t>
        </w:r>
      </w:hyperlink>
      <w:r w:rsidRPr="00323C69">
        <w:rPr>
          <w:rFonts w:ascii="Arial" w:eastAsia="Times New Roman" w:hAnsi="Arial" w:cs="Arial"/>
          <w:color w:val="000000"/>
          <w:lang w:eastAsia="fr-FR"/>
        </w:rPr>
        <w:t> sur un immeuble insalubre ;</w:t>
      </w:r>
    </w:p>
    <w:p w:rsidR="00323C69" w:rsidRPr="00323C69" w:rsidRDefault="00323C69" w:rsidP="00323C69">
      <w:pPr>
        <w:shd w:val="clear" w:color="auto" w:fill="FFFFFF"/>
        <w:spacing w:after="240" w:line="240" w:lineRule="auto"/>
        <w:rPr>
          <w:rFonts w:ascii="Arial" w:eastAsia="Times New Roman" w:hAnsi="Arial" w:cs="Arial"/>
          <w:color w:val="000000"/>
          <w:lang w:eastAsia="fr-FR"/>
        </w:rPr>
      </w:pPr>
      <w:r w:rsidRPr="00323C69">
        <w:rPr>
          <w:rFonts w:ascii="Arial" w:eastAsia="Times New Roman" w:hAnsi="Arial" w:cs="Arial"/>
          <w:color w:val="000000"/>
          <w:lang w:eastAsia="fr-FR"/>
        </w:rPr>
        <w:t>c) Les démolitions effectuées en application d'une décision de justice devenue définitive ;</w:t>
      </w:r>
    </w:p>
    <w:p w:rsidR="00323C69" w:rsidRPr="00323C69" w:rsidRDefault="00323C69" w:rsidP="00323C69">
      <w:pPr>
        <w:shd w:val="clear" w:color="auto" w:fill="FFFFFF"/>
        <w:spacing w:after="240" w:line="240" w:lineRule="auto"/>
        <w:rPr>
          <w:rFonts w:ascii="Arial" w:eastAsia="Times New Roman" w:hAnsi="Arial" w:cs="Arial"/>
          <w:color w:val="000000"/>
          <w:lang w:eastAsia="fr-FR"/>
        </w:rPr>
      </w:pPr>
      <w:r w:rsidRPr="00323C69">
        <w:rPr>
          <w:rFonts w:ascii="Arial" w:eastAsia="Times New Roman" w:hAnsi="Arial" w:cs="Arial"/>
          <w:color w:val="000000"/>
          <w:lang w:eastAsia="fr-FR"/>
        </w:rPr>
        <w:t>d) Les démolitions de bâtiments frappés de servitude de reculement en exécution de plans d'alignement approuvés en application du chapitre Ier du titre IV du livre Ier du code de la voirie routière ;</w:t>
      </w:r>
    </w:p>
    <w:p w:rsidR="00323C69" w:rsidRPr="00323C69" w:rsidRDefault="00323C69" w:rsidP="00323C69">
      <w:pPr>
        <w:shd w:val="clear" w:color="auto" w:fill="FFFFFF"/>
        <w:spacing w:after="240" w:line="240" w:lineRule="auto"/>
        <w:rPr>
          <w:rFonts w:ascii="Arial" w:eastAsia="Times New Roman" w:hAnsi="Arial" w:cs="Arial"/>
          <w:color w:val="000000"/>
          <w:lang w:eastAsia="fr-FR"/>
        </w:rPr>
      </w:pPr>
      <w:r w:rsidRPr="00323C69">
        <w:rPr>
          <w:rFonts w:ascii="Arial" w:eastAsia="Times New Roman" w:hAnsi="Arial" w:cs="Arial"/>
          <w:color w:val="000000"/>
          <w:lang w:eastAsia="fr-FR"/>
        </w:rPr>
        <w:t>e) Les démolitions de lignes électriques et de canalisations ;</w:t>
      </w:r>
    </w:p>
    <w:p w:rsidR="00323C69" w:rsidRPr="00323C69" w:rsidRDefault="00323C69" w:rsidP="00323C69">
      <w:pPr>
        <w:shd w:val="clear" w:color="auto" w:fill="FFFFFF"/>
        <w:spacing w:after="240" w:line="240" w:lineRule="auto"/>
        <w:rPr>
          <w:rFonts w:ascii="Arial" w:eastAsia="Times New Roman" w:hAnsi="Arial" w:cs="Arial"/>
          <w:color w:val="000000"/>
          <w:lang w:eastAsia="fr-FR"/>
        </w:rPr>
      </w:pPr>
      <w:r w:rsidRPr="00323C69">
        <w:rPr>
          <w:rFonts w:ascii="Arial" w:eastAsia="Times New Roman" w:hAnsi="Arial" w:cs="Arial"/>
          <w:color w:val="000000"/>
          <w:lang w:eastAsia="fr-FR"/>
        </w:rPr>
        <w:t>f) Les démolitions de constructions réalisées dans le cadre d'une opération qualifiée d'opération sensible intéressant la défense nationale en application de l'</w:t>
      </w:r>
      <w:hyperlink r:id="rId10" w:history="1">
        <w:r w:rsidRPr="00993414">
          <w:rPr>
            <w:rFonts w:ascii="Arial" w:eastAsia="Times New Roman" w:hAnsi="Arial" w:cs="Arial"/>
            <w:color w:val="4A5E81"/>
            <w:u w:val="single"/>
            <w:lang w:eastAsia="fr-FR"/>
          </w:rPr>
          <w:t>article L. 2391-1 du code de la défense</w:t>
        </w:r>
      </w:hyperlink>
      <w:r w:rsidRPr="00323C69">
        <w:rPr>
          <w:rFonts w:ascii="Arial" w:eastAsia="Times New Roman" w:hAnsi="Arial" w:cs="Arial"/>
          <w:color w:val="000000"/>
          <w:lang w:eastAsia="fr-FR"/>
        </w:rPr>
        <w:t> ;</w:t>
      </w:r>
    </w:p>
    <w:p w:rsidR="00323C69" w:rsidRPr="00323C69" w:rsidRDefault="00323C69" w:rsidP="00323C69">
      <w:pPr>
        <w:shd w:val="clear" w:color="auto" w:fill="FFFFFF"/>
        <w:spacing w:after="240" w:line="240" w:lineRule="auto"/>
        <w:rPr>
          <w:rFonts w:ascii="Arial" w:eastAsia="Times New Roman" w:hAnsi="Arial" w:cs="Arial"/>
          <w:color w:val="000000"/>
          <w:lang w:eastAsia="fr-FR"/>
        </w:rPr>
      </w:pPr>
      <w:r w:rsidRPr="00323C69">
        <w:rPr>
          <w:rFonts w:ascii="Arial" w:eastAsia="Times New Roman" w:hAnsi="Arial" w:cs="Arial"/>
          <w:color w:val="000000"/>
          <w:lang w:eastAsia="fr-FR"/>
        </w:rPr>
        <w:t>g) Les démolitions réalisées dans le cadre d'une opération qualifiée d'opération sensible intéressant la sécurité nationale en application de l'article L. 112-3 du code de la sécurité intérieure.</w:t>
      </w:r>
    </w:p>
    <w:p w:rsidR="002E3B30" w:rsidRPr="00AD5D45" w:rsidRDefault="002E3B30" w:rsidP="002E3B30">
      <w:pPr>
        <w:rPr>
          <w:rFonts w:ascii="Arial" w:hAnsi="Arial" w:cs="Arial"/>
          <w:b/>
          <w:bCs/>
          <w:sz w:val="24"/>
          <w:szCs w:val="24"/>
        </w:rPr>
      </w:pPr>
    </w:p>
    <w:p w:rsidR="002E3B30" w:rsidRDefault="002E3B30"/>
    <w:sectPr w:rsidR="002E3B30" w:rsidSect="00520D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3B30"/>
    <w:rsid w:val="000731AF"/>
    <w:rsid w:val="001D19FA"/>
    <w:rsid w:val="002E3B30"/>
    <w:rsid w:val="00323C69"/>
    <w:rsid w:val="00520D03"/>
    <w:rsid w:val="009418C4"/>
    <w:rsid w:val="00993414"/>
    <w:rsid w:val="00B04B98"/>
    <w:rsid w:val="00D508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B30"/>
    <w:pPr>
      <w:spacing w:after="160" w:line="259" w:lineRule="auto"/>
    </w:pPr>
  </w:style>
  <w:style w:type="paragraph" w:styleId="Titre2">
    <w:name w:val="heading 2"/>
    <w:basedOn w:val="Normal"/>
    <w:link w:val="Titre2Car"/>
    <w:uiPriority w:val="9"/>
    <w:qFormat/>
    <w:rsid w:val="00323C6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6">
    <w:name w:val="heading 6"/>
    <w:basedOn w:val="Normal"/>
    <w:link w:val="Titre6Car"/>
    <w:uiPriority w:val="9"/>
    <w:qFormat/>
    <w:rsid w:val="00323C69"/>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ame-article">
    <w:name w:val="name-article"/>
    <w:basedOn w:val="Normal"/>
    <w:rsid w:val="000731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731AF"/>
    <w:rPr>
      <w:color w:val="0000FF"/>
      <w:u w:val="single"/>
    </w:rPr>
  </w:style>
  <w:style w:type="paragraph" w:customStyle="1" w:styleId="date">
    <w:name w:val="date"/>
    <w:basedOn w:val="Normal"/>
    <w:rsid w:val="000731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731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323C69"/>
    <w:rPr>
      <w:rFonts w:ascii="Times New Roman" w:eastAsia="Times New Roman" w:hAnsi="Times New Roman" w:cs="Times New Roman"/>
      <w:b/>
      <w:bCs/>
      <w:sz w:val="36"/>
      <w:szCs w:val="36"/>
      <w:lang w:eastAsia="fr-FR"/>
    </w:rPr>
  </w:style>
  <w:style w:type="character" w:customStyle="1" w:styleId="Titre6Car">
    <w:name w:val="Titre 6 Car"/>
    <w:basedOn w:val="Policepardfaut"/>
    <w:link w:val="Titre6"/>
    <w:uiPriority w:val="9"/>
    <w:rsid w:val="00323C69"/>
    <w:rPr>
      <w:rFonts w:ascii="Times New Roman" w:eastAsia="Times New Roman" w:hAnsi="Times New Roman" w:cs="Times New Roman"/>
      <w:b/>
      <w:bCs/>
      <w:sz w:val="15"/>
      <w:szCs w:val="15"/>
      <w:lang w:eastAsia="fr-FR"/>
    </w:rPr>
  </w:style>
</w:styles>
</file>

<file path=word/webSettings.xml><?xml version="1.0" encoding="utf-8"?>
<w:webSettings xmlns:r="http://schemas.openxmlformats.org/officeDocument/2006/relationships" xmlns:w="http://schemas.openxmlformats.org/wordprocessingml/2006/main">
  <w:divs>
    <w:div w:id="238948349">
      <w:bodyDiv w:val="1"/>
      <w:marLeft w:val="0"/>
      <w:marRight w:val="0"/>
      <w:marTop w:val="0"/>
      <w:marBottom w:val="0"/>
      <w:divBdr>
        <w:top w:val="none" w:sz="0" w:space="0" w:color="auto"/>
        <w:left w:val="none" w:sz="0" w:space="0" w:color="auto"/>
        <w:bottom w:val="none" w:sz="0" w:space="0" w:color="auto"/>
        <w:right w:val="none" w:sz="0" w:space="0" w:color="auto"/>
      </w:divBdr>
      <w:divsChild>
        <w:div w:id="1840273673">
          <w:marLeft w:val="0"/>
          <w:marRight w:val="0"/>
          <w:marTop w:val="0"/>
          <w:marBottom w:val="0"/>
          <w:divBdr>
            <w:top w:val="none" w:sz="0" w:space="0" w:color="auto"/>
            <w:left w:val="none" w:sz="0" w:space="0" w:color="auto"/>
            <w:bottom w:val="none" w:sz="0" w:space="0" w:color="auto"/>
            <w:right w:val="none" w:sz="0" w:space="0" w:color="auto"/>
          </w:divBdr>
        </w:div>
        <w:div w:id="1213078844">
          <w:marLeft w:val="0"/>
          <w:marRight w:val="0"/>
          <w:marTop w:val="0"/>
          <w:marBottom w:val="0"/>
          <w:divBdr>
            <w:top w:val="none" w:sz="0" w:space="0" w:color="auto"/>
            <w:left w:val="none" w:sz="0" w:space="0" w:color="auto"/>
            <w:bottom w:val="none" w:sz="0" w:space="0" w:color="auto"/>
            <w:right w:val="none" w:sz="0" w:space="0" w:color="auto"/>
          </w:divBdr>
        </w:div>
      </w:divsChild>
    </w:div>
    <w:div w:id="1579439157">
      <w:bodyDiv w:val="1"/>
      <w:marLeft w:val="0"/>
      <w:marRight w:val="0"/>
      <w:marTop w:val="0"/>
      <w:marBottom w:val="0"/>
      <w:divBdr>
        <w:top w:val="none" w:sz="0" w:space="0" w:color="auto"/>
        <w:left w:val="none" w:sz="0" w:space="0" w:color="auto"/>
        <w:bottom w:val="none" w:sz="0" w:space="0" w:color="auto"/>
        <w:right w:val="none" w:sz="0" w:space="0" w:color="auto"/>
      </w:divBdr>
    </w:div>
    <w:div w:id="166219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cidTexte=LEGITEXT000006074096&amp;dateTexte=&amp;categorieLien=cid" TargetMode="External"/><Relationship Id="rId3" Type="http://schemas.openxmlformats.org/officeDocument/2006/relationships/webSettings" Target="webSettings.xml"/><Relationship Id="rId7" Type="http://schemas.openxmlformats.org/officeDocument/2006/relationships/hyperlink" Target="https://www.legifrance.gouv.fr/codes/article_lc/LEGIARTI000037667575?etatTexte=VIGUEUR&amp;etatTexte=VIGUEUR_DIF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codes/article_lc/LEGIARTI000037667599?etatTexte=VIGUEUR&amp;etatTexte=VIGUEUR_DIFF" TargetMode="External"/><Relationship Id="rId11" Type="http://schemas.openxmlformats.org/officeDocument/2006/relationships/fontTable" Target="fontTable.xml"/><Relationship Id="rId5" Type="http://schemas.openxmlformats.org/officeDocument/2006/relationships/hyperlink" Target="https://www.legifrance.gouv.fr/affichCodeArticle.do?cidTexte=LEGITEXT000006074096&amp;idArticle=LEGIARTI000006825791&amp;dateTexte=&amp;categorieLien=cid" TargetMode="External"/><Relationship Id="rId10" Type="http://schemas.openxmlformats.org/officeDocument/2006/relationships/hyperlink" Target="https://www.legifrance.gouv.fr/affichCodeArticle.do?cidTexte=LEGITEXT000006071307&amp;idArticle=LEGIARTI000041442745&amp;dateTexte=&amp;categorieLien=cid" TargetMode="External"/><Relationship Id="rId4" Type="http://schemas.openxmlformats.org/officeDocument/2006/relationships/hyperlink" Target="https://www.legifrance.gouv.fr/loda/id/LEGIARTI000042336116/2021-01-01/" TargetMode="External"/><Relationship Id="rId9" Type="http://schemas.openxmlformats.org/officeDocument/2006/relationships/hyperlink" Target="https://www.legifrance.gouv.fr/affichCode.do?cidTexte=LEGITEXT000006072665&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1315</Words>
  <Characters>7235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bouche</dc:creator>
  <cp:lastModifiedBy>nancy bouche</cp:lastModifiedBy>
  <cp:revision>3</cp:revision>
  <dcterms:created xsi:type="dcterms:W3CDTF">2022-10-26T15:56:00Z</dcterms:created>
  <dcterms:modified xsi:type="dcterms:W3CDTF">2022-10-26T16:32:00Z</dcterms:modified>
</cp:coreProperties>
</file>